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6E4E5" w14:textId="77777777" w:rsidR="00003923" w:rsidRPr="00CA5E7F" w:rsidRDefault="00003923" w:rsidP="00982D9C">
      <w:pPr>
        <w:spacing w:line="360" w:lineRule="auto"/>
        <w:jc w:val="both"/>
        <w:rPr>
          <w:rFonts w:ascii="Arial" w:hAnsi="Arial" w:cs="Arial"/>
          <w:color w:val="222222"/>
          <w:sz w:val="22"/>
          <w:szCs w:val="22"/>
          <w:lang w:val="en-GB"/>
        </w:rPr>
      </w:pPr>
    </w:p>
    <w:p w14:paraId="3C6800D4" w14:textId="77777777" w:rsidR="00003923" w:rsidRPr="00CA5E7F" w:rsidRDefault="00003923" w:rsidP="00E47E17">
      <w:pPr>
        <w:spacing w:line="360" w:lineRule="auto"/>
        <w:jc w:val="center"/>
        <w:rPr>
          <w:rFonts w:ascii="Arial" w:hAnsi="Arial" w:cs="Arial"/>
          <w:color w:val="222222"/>
          <w:sz w:val="22"/>
          <w:szCs w:val="22"/>
          <w:lang w:val="en-GB"/>
        </w:rPr>
      </w:pPr>
    </w:p>
    <w:p w14:paraId="7CF4A479" w14:textId="77777777" w:rsidR="00003923" w:rsidRPr="00CA5E7F" w:rsidRDefault="00003923" w:rsidP="00E47E17">
      <w:pPr>
        <w:spacing w:line="360" w:lineRule="auto"/>
        <w:jc w:val="center"/>
        <w:rPr>
          <w:rFonts w:ascii="Arial" w:hAnsi="Arial" w:cs="Arial"/>
          <w:color w:val="222222"/>
          <w:sz w:val="22"/>
          <w:szCs w:val="22"/>
          <w:lang w:val="en-GB"/>
        </w:rPr>
      </w:pPr>
    </w:p>
    <w:p w14:paraId="50569F88" w14:textId="77777777" w:rsidR="00003923" w:rsidRPr="00CA5E7F" w:rsidRDefault="00003923" w:rsidP="00E47E17">
      <w:pPr>
        <w:spacing w:line="360" w:lineRule="auto"/>
        <w:jc w:val="center"/>
        <w:rPr>
          <w:rFonts w:ascii="Arial" w:hAnsi="Arial" w:cs="Arial"/>
          <w:color w:val="222222"/>
          <w:sz w:val="22"/>
          <w:szCs w:val="22"/>
          <w:lang w:val="en-GB"/>
        </w:rPr>
      </w:pPr>
    </w:p>
    <w:p w14:paraId="2632FBB3" w14:textId="77777777" w:rsidR="00003923" w:rsidRPr="00CA5E7F" w:rsidRDefault="00003923" w:rsidP="00E47E17">
      <w:pPr>
        <w:spacing w:line="360" w:lineRule="auto"/>
        <w:jc w:val="center"/>
        <w:rPr>
          <w:rFonts w:ascii="Arial" w:hAnsi="Arial" w:cs="Arial"/>
          <w:color w:val="222222"/>
          <w:sz w:val="22"/>
          <w:szCs w:val="22"/>
          <w:lang w:val="en-GB"/>
        </w:rPr>
      </w:pPr>
    </w:p>
    <w:p w14:paraId="0CEECCF6" w14:textId="77777777" w:rsidR="00003923" w:rsidRPr="00CA5E7F" w:rsidRDefault="00003923" w:rsidP="00E47E17">
      <w:pPr>
        <w:spacing w:line="360" w:lineRule="auto"/>
        <w:jc w:val="center"/>
        <w:rPr>
          <w:rFonts w:ascii="Arial" w:hAnsi="Arial" w:cs="Arial"/>
          <w:color w:val="222222"/>
          <w:sz w:val="22"/>
          <w:szCs w:val="22"/>
          <w:lang w:val="en-GB"/>
        </w:rPr>
      </w:pPr>
    </w:p>
    <w:p w14:paraId="40399F0E" w14:textId="77777777" w:rsidR="00003923" w:rsidRPr="00CA5E7F" w:rsidRDefault="00003923" w:rsidP="00E47E17">
      <w:pPr>
        <w:spacing w:line="360" w:lineRule="auto"/>
        <w:jc w:val="center"/>
        <w:rPr>
          <w:rFonts w:ascii="Arial" w:hAnsi="Arial" w:cs="Arial"/>
          <w:color w:val="222222"/>
          <w:sz w:val="22"/>
          <w:szCs w:val="22"/>
          <w:lang w:val="en-GB"/>
        </w:rPr>
      </w:pPr>
    </w:p>
    <w:p w14:paraId="152C3744" w14:textId="5C50E3E6" w:rsidR="00003923" w:rsidRPr="00CA5E7F" w:rsidRDefault="00003923" w:rsidP="00E47E17">
      <w:pPr>
        <w:spacing w:line="360" w:lineRule="auto"/>
        <w:jc w:val="center"/>
        <w:rPr>
          <w:rFonts w:ascii="Arial" w:hAnsi="Arial" w:cs="Arial"/>
          <w:color w:val="222222"/>
          <w:sz w:val="22"/>
          <w:szCs w:val="22"/>
          <w:lang w:val="en-GB"/>
        </w:rPr>
      </w:pPr>
      <w:r w:rsidRPr="00CA5E7F">
        <w:rPr>
          <w:rFonts w:ascii="Arial" w:hAnsi="Arial" w:cs="Arial"/>
          <w:noProof/>
          <w:sz w:val="22"/>
          <w:szCs w:val="22"/>
          <w:lang w:val="en-GB" w:eastAsia="en-GB"/>
        </w:rPr>
        <w:drawing>
          <wp:inline distT="0" distB="0" distL="0" distR="0" wp14:anchorId="2643D13D" wp14:editId="12BECD1B">
            <wp:extent cx="4321175" cy="2836863"/>
            <wp:effectExtent l="57150" t="57150" r="117475" b="116205"/>
            <wp:docPr id="10" name="Content Placeholder 9" descr="U:\11. WWW\online\public_html\images\klasa.JPG"/>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10" name="Content Placeholder 9" descr="U:\11. WWW\online\public_html\images\klasa.JPG"/>
                    <pic:cNvPicPr>
                      <a:picLocks noGrp="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1175" cy="2836863"/>
                    </a:xfrm>
                    <a:prstGeom prst="rect">
                      <a:avLst/>
                    </a:prstGeom>
                    <a:noFill/>
                    <a:ln w="3175" cap="sq">
                      <a:solidFill>
                        <a:srgbClr val="000000"/>
                      </a:solidFill>
                      <a:prstDash val="solid"/>
                      <a:miter lim="800000"/>
                    </a:ln>
                    <a:effectLst>
                      <a:outerShdw blurRad="50800" dist="38100" dir="2700000" algn="tl" rotWithShape="0">
                        <a:srgbClr val="000000">
                          <a:alpha val="43000"/>
                        </a:srgbClr>
                      </a:outerShdw>
                    </a:effectLst>
                    <a:extLst>
                      <a:ext uri="{909E8E84-426E-40DD-AFC4-6F175D3DCCD1}">
                        <a14:hiddenFill xmlns:a14="http://schemas.microsoft.com/office/drawing/2010/main">
                          <a:solidFill>
                            <a:schemeClr val="accent1"/>
                          </a:solidFill>
                        </a14:hiddenFill>
                      </a:ext>
                    </a:extLst>
                  </pic:spPr>
                </pic:pic>
              </a:graphicData>
            </a:graphic>
          </wp:inline>
        </w:drawing>
      </w:r>
    </w:p>
    <w:p w14:paraId="3CCF4446" w14:textId="77777777" w:rsidR="00003923" w:rsidRPr="00CA5E7F" w:rsidRDefault="00003923" w:rsidP="00E47E17">
      <w:pPr>
        <w:spacing w:line="360" w:lineRule="auto"/>
        <w:jc w:val="center"/>
        <w:rPr>
          <w:rFonts w:ascii="Arial" w:hAnsi="Arial" w:cs="Arial"/>
          <w:b/>
          <w:sz w:val="22"/>
          <w:szCs w:val="22"/>
          <w:lang w:val="en-GB"/>
        </w:rPr>
      </w:pPr>
    </w:p>
    <w:p w14:paraId="4F9DDE2E" w14:textId="77777777" w:rsidR="00E47E17" w:rsidRPr="00CA5E7F" w:rsidRDefault="00E47E17" w:rsidP="00E47E17">
      <w:pPr>
        <w:spacing w:line="360" w:lineRule="auto"/>
        <w:jc w:val="center"/>
        <w:rPr>
          <w:rFonts w:ascii="Arial" w:hAnsi="Arial" w:cs="Arial"/>
          <w:b/>
          <w:sz w:val="22"/>
          <w:szCs w:val="22"/>
          <w:lang w:val="en-GB"/>
        </w:rPr>
      </w:pPr>
      <w:r w:rsidRPr="00CA5E7F">
        <w:rPr>
          <w:rFonts w:ascii="Arial" w:hAnsi="Arial" w:cs="Arial"/>
          <w:b/>
          <w:sz w:val="22"/>
          <w:szCs w:val="22"/>
          <w:lang w:val="en-GB"/>
        </w:rPr>
        <w:t>HUMAN RIGHTS REVIEW PANEL</w:t>
      </w:r>
    </w:p>
    <w:p w14:paraId="76616166" w14:textId="77777777" w:rsidR="00E47E17" w:rsidRPr="00CA5E7F" w:rsidRDefault="00E47E17" w:rsidP="00E47E17">
      <w:pPr>
        <w:spacing w:line="360" w:lineRule="auto"/>
        <w:jc w:val="center"/>
        <w:rPr>
          <w:rFonts w:ascii="Arial" w:hAnsi="Arial" w:cs="Arial"/>
          <w:b/>
          <w:sz w:val="22"/>
          <w:szCs w:val="22"/>
          <w:lang w:val="en-GB"/>
        </w:rPr>
      </w:pPr>
    </w:p>
    <w:p w14:paraId="0508388D" w14:textId="2EDB1676" w:rsidR="00003923" w:rsidRPr="00CA5E7F" w:rsidRDefault="00D71C8A" w:rsidP="00003923">
      <w:pPr>
        <w:spacing w:line="360" w:lineRule="auto"/>
        <w:jc w:val="center"/>
        <w:rPr>
          <w:rFonts w:ascii="Arial" w:hAnsi="Arial" w:cs="Arial"/>
          <w:b/>
          <w:sz w:val="22"/>
          <w:szCs w:val="22"/>
          <w:lang w:val="en-GB"/>
        </w:rPr>
      </w:pPr>
      <w:r w:rsidRPr="00CA5E7F">
        <w:rPr>
          <w:rFonts w:ascii="Arial" w:hAnsi="Arial" w:cs="Arial"/>
          <w:b/>
          <w:sz w:val="22"/>
          <w:szCs w:val="22"/>
          <w:lang w:val="en-GB"/>
        </w:rPr>
        <w:t>CASE-LAW</w:t>
      </w:r>
      <w:r w:rsidR="00E47E17" w:rsidRPr="00CA5E7F">
        <w:rPr>
          <w:rFonts w:ascii="Arial" w:hAnsi="Arial" w:cs="Arial"/>
          <w:b/>
          <w:sz w:val="22"/>
          <w:szCs w:val="22"/>
          <w:lang w:val="en-GB"/>
        </w:rPr>
        <w:t xml:space="preserve"> NOTE ON </w:t>
      </w:r>
    </w:p>
    <w:p w14:paraId="2AC567B2" w14:textId="5A499329" w:rsidR="00BA16BB" w:rsidRPr="00CA5E7F" w:rsidRDefault="002738FA" w:rsidP="00364A37">
      <w:pPr>
        <w:spacing w:line="360" w:lineRule="auto"/>
        <w:jc w:val="center"/>
        <w:rPr>
          <w:rFonts w:ascii="Arial" w:hAnsi="Arial" w:cs="Arial"/>
          <w:b/>
          <w:sz w:val="22"/>
          <w:szCs w:val="22"/>
          <w:lang w:val="en-GB"/>
        </w:rPr>
      </w:pPr>
      <w:r>
        <w:rPr>
          <w:rFonts w:ascii="Arial" w:hAnsi="Arial" w:cs="Arial"/>
          <w:b/>
          <w:sz w:val="22"/>
          <w:szCs w:val="22"/>
          <w:lang w:val="en-GB"/>
        </w:rPr>
        <w:t xml:space="preserve">CONDITIONS OF </w:t>
      </w:r>
      <w:r w:rsidR="00982D9C" w:rsidRPr="00CA5E7F">
        <w:rPr>
          <w:rFonts w:ascii="Arial" w:hAnsi="Arial" w:cs="Arial"/>
          <w:b/>
          <w:sz w:val="22"/>
          <w:szCs w:val="22"/>
          <w:lang w:val="en-GB"/>
        </w:rPr>
        <w:t xml:space="preserve">ADMISSIBILITY </w:t>
      </w:r>
      <w:r>
        <w:rPr>
          <w:rFonts w:ascii="Arial" w:hAnsi="Arial" w:cs="Arial"/>
          <w:b/>
          <w:sz w:val="22"/>
          <w:szCs w:val="22"/>
          <w:lang w:val="en-GB"/>
        </w:rPr>
        <w:t>OF COMPLAINTS</w:t>
      </w:r>
      <w:r w:rsidR="00982D9C" w:rsidRPr="00CA5E7F">
        <w:rPr>
          <w:rFonts w:ascii="Arial" w:hAnsi="Arial" w:cs="Arial"/>
          <w:b/>
          <w:sz w:val="22"/>
          <w:szCs w:val="22"/>
          <w:lang w:val="en-GB"/>
        </w:rPr>
        <w:t xml:space="preserve"> BEFORE THE PANEL </w:t>
      </w:r>
      <w:r w:rsidR="00BA16BB" w:rsidRPr="00CA5E7F">
        <w:rPr>
          <w:rFonts w:ascii="Arial" w:hAnsi="Arial" w:cs="Arial"/>
          <w:b/>
          <w:sz w:val="22"/>
          <w:szCs w:val="22"/>
          <w:lang w:val="en-GB"/>
        </w:rPr>
        <w:t xml:space="preserve">AND </w:t>
      </w:r>
    </w:p>
    <w:p w14:paraId="67106438" w14:textId="7227D7A6" w:rsidR="00364A37" w:rsidRPr="00CA5E7F" w:rsidRDefault="00BA16BB" w:rsidP="00364A37">
      <w:pPr>
        <w:spacing w:line="360" w:lineRule="auto"/>
        <w:jc w:val="center"/>
        <w:rPr>
          <w:rFonts w:ascii="Arial" w:hAnsi="Arial" w:cs="Arial"/>
          <w:b/>
          <w:sz w:val="22"/>
          <w:szCs w:val="22"/>
          <w:lang w:val="en-GB"/>
        </w:rPr>
      </w:pPr>
      <w:r w:rsidRPr="00CA5E7F">
        <w:rPr>
          <w:rFonts w:ascii="Arial" w:hAnsi="Arial" w:cs="Arial"/>
          <w:b/>
          <w:sz w:val="22"/>
          <w:szCs w:val="22"/>
          <w:lang w:val="en-GB"/>
        </w:rPr>
        <w:t>RELATED JURISDICTIONAL ISSUES</w:t>
      </w:r>
    </w:p>
    <w:p w14:paraId="2E5431D7" w14:textId="6940CC95" w:rsidR="00E47E17" w:rsidRPr="00CA5E7F" w:rsidRDefault="00E47E17" w:rsidP="00003923">
      <w:pPr>
        <w:spacing w:line="360" w:lineRule="auto"/>
        <w:jc w:val="center"/>
        <w:rPr>
          <w:rFonts w:ascii="Arial" w:hAnsi="Arial" w:cs="Arial"/>
          <w:b/>
          <w:sz w:val="22"/>
          <w:szCs w:val="22"/>
          <w:lang w:val="en-GB"/>
        </w:rPr>
      </w:pPr>
    </w:p>
    <w:p w14:paraId="6F08CB50" w14:textId="77777777" w:rsidR="00E47E17" w:rsidRPr="00CA5E7F" w:rsidRDefault="00E47E17" w:rsidP="00E47E17">
      <w:pPr>
        <w:spacing w:line="360" w:lineRule="auto"/>
        <w:jc w:val="both"/>
        <w:rPr>
          <w:rFonts w:ascii="Arial" w:hAnsi="Arial" w:cs="Arial"/>
          <w:b/>
          <w:sz w:val="22"/>
          <w:szCs w:val="22"/>
          <w:lang w:val="en-GB"/>
        </w:rPr>
      </w:pPr>
    </w:p>
    <w:p w14:paraId="3F6C9D78" w14:textId="77777777" w:rsidR="00E47E17" w:rsidRPr="00CA5E7F" w:rsidRDefault="00E47E17" w:rsidP="00E47E17">
      <w:pPr>
        <w:spacing w:line="360" w:lineRule="auto"/>
        <w:jc w:val="both"/>
        <w:rPr>
          <w:rFonts w:ascii="Arial" w:hAnsi="Arial" w:cs="Arial"/>
          <w:b/>
          <w:sz w:val="22"/>
          <w:szCs w:val="22"/>
          <w:lang w:val="en-GB"/>
        </w:rPr>
      </w:pPr>
    </w:p>
    <w:p w14:paraId="44E1E387" w14:textId="77777777" w:rsidR="00E47E17" w:rsidRPr="00CA5E7F" w:rsidRDefault="00E47E17" w:rsidP="00E47E17">
      <w:pPr>
        <w:spacing w:line="360" w:lineRule="auto"/>
        <w:jc w:val="both"/>
        <w:rPr>
          <w:rFonts w:ascii="Arial" w:hAnsi="Arial" w:cs="Arial"/>
          <w:sz w:val="22"/>
          <w:szCs w:val="22"/>
          <w:lang w:val="en-GB"/>
        </w:rPr>
      </w:pPr>
      <w:r w:rsidRPr="00CA5E7F">
        <w:rPr>
          <w:rFonts w:ascii="Arial" w:hAnsi="Arial" w:cs="Arial"/>
          <w:sz w:val="22"/>
          <w:szCs w:val="22"/>
          <w:lang w:val="en-GB"/>
        </w:rPr>
        <w:br w:type="page"/>
      </w:r>
    </w:p>
    <w:sdt>
      <w:sdtPr>
        <w:rPr>
          <w:rFonts w:asciiTheme="minorHAnsi" w:eastAsiaTheme="minorEastAsia" w:hAnsiTheme="minorHAnsi" w:cs="Arial"/>
          <w:b w:val="0"/>
          <w:bCs w:val="0"/>
          <w:color w:val="auto"/>
          <w:sz w:val="22"/>
          <w:szCs w:val="22"/>
          <w:lang w:val="en-GB" w:eastAsia="en-US"/>
        </w:rPr>
        <w:id w:val="-1544751594"/>
        <w:docPartObj>
          <w:docPartGallery w:val="Table of Contents"/>
          <w:docPartUnique/>
        </w:docPartObj>
      </w:sdtPr>
      <w:sdtEndPr>
        <w:rPr>
          <w:rFonts w:ascii="Times New Roman" w:eastAsia="Times New Roman" w:hAnsi="Times New Roman"/>
          <w:noProof/>
        </w:rPr>
      </w:sdtEndPr>
      <w:sdtContent>
        <w:p w14:paraId="27AFE380" w14:textId="2DEABF17" w:rsidR="00CF7E39" w:rsidRPr="00CA5E7F" w:rsidRDefault="00CF7E39">
          <w:pPr>
            <w:pStyle w:val="TOCHeading"/>
            <w:rPr>
              <w:rFonts w:cs="Arial"/>
              <w:sz w:val="22"/>
              <w:szCs w:val="22"/>
              <w:lang w:val="en-GB"/>
            </w:rPr>
          </w:pPr>
          <w:r w:rsidRPr="00CA5E7F">
            <w:rPr>
              <w:rFonts w:cs="Arial"/>
              <w:sz w:val="22"/>
              <w:szCs w:val="22"/>
              <w:lang w:val="en-GB"/>
            </w:rPr>
            <w:t>Table of Contents</w:t>
          </w:r>
        </w:p>
        <w:p w14:paraId="6669EEB5" w14:textId="77777777" w:rsidR="00404DD5" w:rsidRDefault="00CF7E39">
          <w:pPr>
            <w:pStyle w:val="TOC1"/>
            <w:rPr>
              <w:noProof/>
              <w:sz w:val="22"/>
              <w:szCs w:val="22"/>
              <w:lang w:val="en-GB" w:eastAsia="en-GB"/>
            </w:rPr>
          </w:pPr>
          <w:r w:rsidRPr="00CA5E7F">
            <w:rPr>
              <w:rFonts w:ascii="Arial" w:hAnsi="Arial" w:cs="Arial"/>
              <w:sz w:val="22"/>
              <w:szCs w:val="22"/>
              <w:lang w:val="en-GB"/>
            </w:rPr>
            <w:fldChar w:fldCharType="begin"/>
          </w:r>
          <w:r w:rsidRPr="00CA5E7F">
            <w:rPr>
              <w:rFonts w:ascii="Arial" w:hAnsi="Arial" w:cs="Arial"/>
              <w:sz w:val="22"/>
              <w:szCs w:val="22"/>
              <w:lang w:val="en-GB"/>
            </w:rPr>
            <w:instrText xml:space="preserve"> TOC \o "1-3" \h \z \u </w:instrText>
          </w:r>
          <w:r w:rsidRPr="00CA5E7F">
            <w:rPr>
              <w:rFonts w:ascii="Arial" w:hAnsi="Arial" w:cs="Arial"/>
              <w:sz w:val="22"/>
              <w:szCs w:val="22"/>
              <w:lang w:val="en-GB"/>
            </w:rPr>
            <w:fldChar w:fldCharType="separate"/>
          </w:r>
          <w:hyperlink w:anchor="_Toc496014011" w:history="1">
            <w:r w:rsidR="00404DD5" w:rsidRPr="00E97D5E">
              <w:rPr>
                <w:rStyle w:val="Hyperlink"/>
                <w:rFonts w:cs="Arial"/>
                <w:noProof/>
                <w:lang w:val="en-GB"/>
              </w:rPr>
              <w:t>1.</w:t>
            </w:r>
            <w:r w:rsidR="00404DD5">
              <w:rPr>
                <w:noProof/>
                <w:sz w:val="22"/>
                <w:szCs w:val="22"/>
                <w:lang w:val="en-GB" w:eastAsia="en-GB"/>
              </w:rPr>
              <w:tab/>
            </w:r>
            <w:r w:rsidR="00404DD5" w:rsidRPr="00E97D5E">
              <w:rPr>
                <w:rStyle w:val="Hyperlink"/>
                <w:rFonts w:cs="Arial"/>
                <w:noProof/>
                <w:lang w:val="en-GB"/>
              </w:rPr>
              <w:t>General considerations –</w:t>
            </w:r>
            <w:r w:rsidR="00404DD5" w:rsidRPr="00E97D5E">
              <w:rPr>
                <w:rStyle w:val="Hyperlink"/>
                <w:rFonts w:cs="Arial"/>
                <w:noProof/>
                <w:lang w:val="en-GB"/>
              </w:rPr>
              <w:t xml:space="preserve"> </w:t>
            </w:r>
            <w:r w:rsidR="00404DD5" w:rsidRPr="00E97D5E">
              <w:rPr>
                <w:rStyle w:val="Hyperlink"/>
                <w:rFonts w:cs="Arial"/>
                <w:noProof/>
                <w:lang w:val="en-GB"/>
              </w:rPr>
              <w:t>Accountability concept as general framework to the work of the Panel</w:t>
            </w:r>
            <w:r w:rsidR="00404DD5">
              <w:rPr>
                <w:noProof/>
                <w:webHidden/>
              </w:rPr>
              <w:tab/>
            </w:r>
            <w:r w:rsidR="00404DD5">
              <w:rPr>
                <w:noProof/>
                <w:webHidden/>
              </w:rPr>
              <w:fldChar w:fldCharType="begin"/>
            </w:r>
            <w:r w:rsidR="00404DD5">
              <w:rPr>
                <w:noProof/>
                <w:webHidden/>
              </w:rPr>
              <w:instrText xml:space="preserve"> PAGEREF _Toc496014011 \h </w:instrText>
            </w:r>
            <w:r w:rsidR="00404DD5">
              <w:rPr>
                <w:noProof/>
                <w:webHidden/>
              </w:rPr>
            </w:r>
            <w:r w:rsidR="00404DD5">
              <w:rPr>
                <w:noProof/>
                <w:webHidden/>
              </w:rPr>
              <w:fldChar w:fldCharType="separate"/>
            </w:r>
            <w:r w:rsidR="00404DD5">
              <w:rPr>
                <w:noProof/>
                <w:webHidden/>
              </w:rPr>
              <w:t>4</w:t>
            </w:r>
            <w:r w:rsidR="00404DD5">
              <w:rPr>
                <w:noProof/>
                <w:webHidden/>
              </w:rPr>
              <w:fldChar w:fldCharType="end"/>
            </w:r>
          </w:hyperlink>
        </w:p>
        <w:p w14:paraId="08F78926" w14:textId="77777777" w:rsidR="00404DD5" w:rsidRDefault="002956E1">
          <w:pPr>
            <w:pStyle w:val="TOC1"/>
            <w:rPr>
              <w:noProof/>
              <w:sz w:val="22"/>
              <w:szCs w:val="22"/>
              <w:lang w:val="en-GB" w:eastAsia="en-GB"/>
            </w:rPr>
          </w:pPr>
          <w:hyperlink w:anchor="_Toc496014012" w:history="1">
            <w:r w:rsidR="00404DD5" w:rsidRPr="00E97D5E">
              <w:rPr>
                <w:rStyle w:val="Hyperlink"/>
                <w:rFonts w:cs="Arial"/>
                <w:noProof/>
                <w:lang w:val="en-GB"/>
              </w:rPr>
              <w:t>2.</w:t>
            </w:r>
            <w:r w:rsidR="00404DD5">
              <w:rPr>
                <w:noProof/>
                <w:sz w:val="22"/>
                <w:szCs w:val="22"/>
                <w:lang w:val="en-GB" w:eastAsia="en-GB"/>
              </w:rPr>
              <w:tab/>
            </w:r>
            <w:r w:rsidR="00404DD5" w:rsidRPr="00E97D5E">
              <w:rPr>
                <w:rStyle w:val="Hyperlink"/>
                <w:rFonts w:cs="Arial"/>
                <w:noProof/>
                <w:lang w:val="en-GB"/>
              </w:rPr>
              <w:t>Scope of competence and reviewing authority of the Pa</w:t>
            </w:r>
            <w:r w:rsidR="00404DD5" w:rsidRPr="00E97D5E">
              <w:rPr>
                <w:rStyle w:val="Hyperlink"/>
                <w:rFonts w:cs="Arial"/>
                <w:noProof/>
                <w:lang w:val="en-GB"/>
              </w:rPr>
              <w:t>n</w:t>
            </w:r>
            <w:r w:rsidR="00404DD5" w:rsidRPr="00E97D5E">
              <w:rPr>
                <w:rStyle w:val="Hyperlink"/>
                <w:rFonts w:cs="Arial"/>
                <w:noProof/>
                <w:lang w:val="en-GB"/>
              </w:rPr>
              <w:t>el</w:t>
            </w:r>
            <w:r w:rsidR="00404DD5">
              <w:rPr>
                <w:noProof/>
                <w:webHidden/>
              </w:rPr>
              <w:tab/>
            </w:r>
            <w:r w:rsidR="00404DD5">
              <w:rPr>
                <w:noProof/>
                <w:webHidden/>
              </w:rPr>
              <w:fldChar w:fldCharType="begin"/>
            </w:r>
            <w:r w:rsidR="00404DD5">
              <w:rPr>
                <w:noProof/>
                <w:webHidden/>
              </w:rPr>
              <w:instrText xml:space="preserve"> PAGEREF _Toc496014012 \h </w:instrText>
            </w:r>
            <w:r w:rsidR="00404DD5">
              <w:rPr>
                <w:noProof/>
                <w:webHidden/>
              </w:rPr>
            </w:r>
            <w:r w:rsidR="00404DD5">
              <w:rPr>
                <w:noProof/>
                <w:webHidden/>
              </w:rPr>
              <w:fldChar w:fldCharType="separate"/>
            </w:r>
            <w:r w:rsidR="00404DD5">
              <w:rPr>
                <w:noProof/>
                <w:webHidden/>
              </w:rPr>
              <w:t>4</w:t>
            </w:r>
            <w:r w:rsidR="00404DD5">
              <w:rPr>
                <w:noProof/>
                <w:webHidden/>
              </w:rPr>
              <w:fldChar w:fldCharType="end"/>
            </w:r>
          </w:hyperlink>
        </w:p>
        <w:p w14:paraId="1B551FCB" w14:textId="77777777" w:rsidR="00404DD5" w:rsidRDefault="002956E1">
          <w:pPr>
            <w:pStyle w:val="TOC2"/>
            <w:tabs>
              <w:tab w:val="left" w:pos="880"/>
              <w:tab w:val="right" w:leader="dot" w:pos="8290"/>
            </w:tabs>
            <w:rPr>
              <w:noProof/>
              <w:sz w:val="22"/>
              <w:szCs w:val="22"/>
              <w:lang w:val="en-GB" w:eastAsia="en-GB"/>
            </w:rPr>
          </w:pPr>
          <w:hyperlink w:anchor="_Toc496014013" w:history="1">
            <w:r w:rsidR="00404DD5" w:rsidRPr="00E97D5E">
              <w:rPr>
                <w:rStyle w:val="Hyperlink"/>
                <w:i/>
                <w:noProof/>
                <w:lang w:val="en-GB"/>
              </w:rPr>
              <w:t>2.1</w:t>
            </w:r>
            <w:r w:rsidR="00404DD5">
              <w:rPr>
                <w:noProof/>
                <w:sz w:val="22"/>
                <w:szCs w:val="22"/>
                <w:lang w:val="en-GB" w:eastAsia="en-GB"/>
              </w:rPr>
              <w:tab/>
            </w:r>
            <w:r w:rsidR="00404DD5" w:rsidRPr="00E97D5E">
              <w:rPr>
                <w:rStyle w:val="Hyperlink"/>
                <w:i/>
                <w:noProof/>
                <w:lang w:val="en-GB"/>
              </w:rPr>
              <w:t>General considerations</w:t>
            </w:r>
            <w:r w:rsidR="00404DD5">
              <w:rPr>
                <w:noProof/>
                <w:webHidden/>
              </w:rPr>
              <w:tab/>
            </w:r>
            <w:r w:rsidR="00404DD5">
              <w:rPr>
                <w:noProof/>
                <w:webHidden/>
              </w:rPr>
              <w:fldChar w:fldCharType="begin"/>
            </w:r>
            <w:r w:rsidR="00404DD5">
              <w:rPr>
                <w:noProof/>
                <w:webHidden/>
              </w:rPr>
              <w:instrText xml:space="preserve"> PAGEREF _Toc496014013 \h </w:instrText>
            </w:r>
            <w:r w:rsidR="00404DD5">
              <w:rPr>
                <w:noProof/>
                <w:webHidden/>
              </w:rPr>
            </w:r>
            <w:r w:rsidR="00404DD5">
              <w:rPr>
                <w:noProof/>
                <w:webHidden/>
              </w:rPr>
              <w:fldChar w:fldCharType="separate"/>
            </w:r>
            <w:r w:rsidR="00404DD5">
              <w:rPr>
                <w:noProof/>
                <w:webHidden/>
              </w:rPr>
              <w:t>4</w:t>
            </w:r>
            <w:r w:rsidR="00404DD5">
              <w:rPr>
                <w:noProof/>
                <w:webHidden/>
              </w:rPr>
              <w:fldChar w:fldCharType="end"/>
            </w:r>
          </w:hyperlink>
        </w:p>
        <w:p w14:paraId="2BB16FEF" w14:textId="77777777" w:rsidR="00404DD5" w:rsidRDefault="002956E1">
          <w:pPr>
            <w:pStyle w:val="TOC2"/>
            <w:tabs>
              <w:tab w:val="left" w:pos="880"/>
              <w:tab w:val="right" w:leader="dot" w:pos="8290"/>
            </w:tabs>
            <w:rPr>
              <w:noProof/>
              <w:sz w:val="22"/>
              <w:szCs w:val="22"/>
              <w:lang w:val="en-GB" w:eastAsia="en-GB"/>
            </w:rPr>
          </w:pPr>
          <w:hyperlink w:anchor="_Toc496014014" w:history="1">
            <w:r w:rsidR="00404DD5" w:rsidRPr="00E97D5E">
              <w:rPr>
                <w:rStyle w:val="Hyperlink"/>
                <w:i/>
                <w:noProof/>
                <w:lang w:val="en-GB"/>
              </w:rPr>
              <w:t>2.2</w:t>
            </w:r>
            <w:r w:rsidR="00404DD5">
              <w:rPr>
                <w:noProof/>
                <w:sz w:val="22"/>
                <w:szCs w:val="22"/>
                <w:lang w:val="en-GB" w:eastAsia="en-GB"/>
              </w:rPr>
              <w:tab/>
            </w:r>
            <w:r w:rsidR="00404DD5" w:rsidRPr="00E97D5E">
              <w:rPr>
                <w:rStyle w:val="Hyperlink"/>
                <w:i/>
                <w:noProof/>
                <w:lang w:val="en-GB"/>
              </w:rPr>
              <w:t>Ratione materiae</w:t>
            </w:r>
            <w:r w:rsidR="00404DD5">
              <w:rPr>
                <w:noProof/>
                <w:webHidden/>
              </w:rPr>
              <w:tab/>
            </w:r>
            <w:r w:rsidR="00404DD5">
              <w:rPr>
                <w:noProof/>
                <w:webHidden/>
              </w:rPr>
              <w:fldChar w:fldCharType="begin"/>
            </w:r>
            <w:r w:rsidR="00404DD5">
              <w:rPr>
                <w:noProof/>
                <w:webHidden/>
              </w:rPr>
              <w:instrText xml:space="preserve"> PAGEREF _Toc496014014 \h </w:instrText>
            </w:r>
            <w:r w:rsidR="00404DD5">
              <w:rPr>
                <w:noProof/>
                <w:webHidden/>
              </w:rPr>
            </w:r>
            <w:r w:rsidR="00404DD5">
              <w:rPr>
                <w:noProof/>
                <w:webHidden/>
              </w:rPr>
              <w:fldChar w:fldCharType="separate"/>
            </w:r>
            <w:r w:rsidR="00404DD5">
              <w:rPr>
                <w:noProof/>
                <w:webHidden/>
              </w:rPr>
              <w:t>4</w:t>
            </w:r>
            <w:r w:rsidR="00404DD5">
              <w:rPr>
                <w:noProof/>
                <w:webHidden/>
              </w:rPr>
              <w:fldChar w:fldCharType="end"/>
            </w:r>
          </w:hyperlink>
        </w:p>
        <w:p w14:paraId="511FFEB6" w14:textId="77777777" w:rsidR="00404DD5" w:rsidRDefault="002956E1">
          <w:pPr>
            <w:pStyle w:val="TOC3"/>
            <w:tabs>
              <w:tab w:val="left" w:pos="1320"/>
              <w:tab w:val="right" w:leader="dot" w:pos="8290"/>
            </w:tabs>
            <w:rPr>
              <w:noProof/>
              <w:sz w:val="22"/>
              <w:szCs w:val="22"/>
              <w:lang w:val="en-GB" w:eastAsia="en-GB"/>
            </w:rPr>
          </w:pPr>
          <w:hyperlink w:anchor="_Toc496014015" w:history="1">
            <w:r w:rsidR="00404DD5" w:rsidRPr="00E97D5E">
              <w:rPr>
                <w:rStyle w:val="Hyperlink"/>
                <w:noProof/>
                <w:lang w:val="en-GB"/>
              </w:rPr>
              <w:t>2.2.1</w:t>
            </w:r>
            <w:r w:rsidR="00404DD5">
              <w:rPr>
                <w:noProof/>
                <w:sz w:val="22"/>
                <w:szCs w:val="22"/>
                <w:lang w:val="en-GB" w:eastAsia="en-GB"/>
              </w:rPr>
              <w:tab/>
            </w:r>
            <w:r w:rsidR="00404DD5" w:rsidRPr="00E97D5E">
              <w:rPr>
                <w:rStyle w:val="Hyperlink"/>
                <w:noProof/>
                <w:lang w:val="en-GB"/>
              </w:rPr>
              <w:t>Acts and omission attributable to EULEX resulting in or contributing to rights violation</w:t>
            </w:r>
            <w:r w:rsidR="00404DD5">
              <w:rPr>
                <w:noProof/>
                <w:webHidden/>
              </w:rPr>
              <w:tab/>
            </w:r>
            <w:r w:rsidR="00404DD5">
              <w:rPr>
                <w:noProof/>
                <w:webHidden/>
              </w:rPr>
              <w:fldChar w:fldCharType="begin"/>
            </w:r>
            <w:r w:rsidR="00404DD5">
              <w:rPr>
                <w:noProof/>
                <w:webHidden/>
              </w:rPr>
              <w:instrText xml:space="preserve"> PAGEREF _Toc496014015 \h </w:instrText>
            </w:r>
            <w:r w:rsidR="00404DD5">
              <w:rPr>
                <w:noProof/>
                <w:webHidden/>
              </w:rPr>
            </w:r>
            <w:r w:rsidR="00404DD5">
              <w:rPr>
                <w:noProof/>
                <w:webHidden/>
              </w:rPr>
              <w:fldChar w:fldCharType="separate"/>
            </w:r>
            <w:r w:rsidR="00404DD5">
              <w:rPr>
                <w:noProof/>
                <w:webHidden/>
              </w:rPr>
              <w:t>4</w:t>
            </w:r>
            <w:r w:rsidR="00404DD5">
              <w:rPr>
                <w:noProof/>
                <w:webHidden/>
              </w:rPr>
              <w:fldChar w:fldCharType="end"/>
            </w:r>
          </w:hyperlink>
        </w:p>
        <w:p w14:paraId="537B729E" w14:textId="77777777" w:rsidR="00404DD5" w:rsidRDefault="002956E1">
          <w:pPr>
            <w:pStyle w:val="TOC3"/>
            <w:tabs>
              <w:tab w:val="left" w:pos="1320"/>
              <w:tab w:val="right" w:leader="dot" w:pos="8290"/>
            </w:tabs>
            <w:rPr>
              <w:noProof/>
              <w:sz w:val="22"/>
              <w:szCs w:val="22"/>
              <w:lang w:val="en-GB" w:eastAsia="en-GB"/>
            </w:rPr>
          </w:pPr>
          <w:hyperlink w:anchor="_Toc496014016" w:history="1">
            <w:r w:rsidR="00404DD5" w:rsidRPr="00E97D5E">
              <w:rPr>
                <w:rStyle w:val="Hyperlink"/>
                <w:noProof/>
                <w:lang w:val="en-GB"/>
              </w:rPr>
              <w:t>2.2.2</w:t>
            </w:r>
            <w:r w:rsidR="00404DD5">
              <w:rPr>
                <w:noProof/>
                <w:sz w:val="22"/>
                <w:szCs w:val="22"/>
                <w:lang w:val="en-GB" w:eastAsia="en-GB"/>
              </w:rPr>
              <w:tab/>
            </w:r>
            <w:r w:rsidR="00404DD5" w:rsidRPr="00E97D5E">
              <w:rPr>
                <w:rStyle w:val="Hyperlink"/>
                <w:noProof/>
                <w:lang w:val="en-GB"/>
              </w:rPr>
              <w:t>Executive mandate</w:t>
            </w:r>
            <w:r w:rsidR="00404DD5">
              <w:rPr>
                <w:noProof/>
                <w:webHidden/>
              </w:rPr>
              <w:tab/>
            </w:r>
            <w:r w:rsidR="00404DD5">
              <w:rPr>
                <w:noProof/>
                <w:webHidden/>
              </w:rPr>
              <w:fldChar w:fldCharType="begin"/>
            </w:r>
            <w:r w:rsidR="00404DD5">
              <w:rPr>
                <w:noProof/>
                <w:webHidden/>
              </w:rPr>
              <w:instrText xml:space="preserve"> PAGEREF _Toc496014016 \h </w:instrText>
            </w:r>
            <w:r w:rsidR="00404DD5">
              <w:rPr>
                <w:noProof/>
                <w:webHidden/>
              </w:rPr>
            </w:r>
            <w:r w:rsidR="00404DD5">
              <w:rPr>
                <w:noProof/>
                <w:webHidden/>
              </w:rPr>
              <w:fldChar w:fldCharType="separate"/>
            </w:r>
            <w:r w:rsidR="00404DD5">
              <w:rPr>
                <w:noProof/>
                <w:webHidden/>
              </w:rPr>
              <w:t>4</w:t>
            </w:r>
            <w:r w:rsidR="00404DD5">
              <w:rPr>
                <w:noProof/>
                <w:webHidden/>
              </w:rPr>
              <w:fldChar w:fldCharType="end"/>
            </w:r>
          </w:hyperlink>
        </w:p>
        <w:p w14:paraId="41E903D2" w14:textId="77777777" w:rsidR="00404DD5" w:rsidRDefault="002956E1">
          <w:pPr>
            <w:pStyle w:val="TOC3"/>
            <w:tabs>
              <w:tab w:val="left" w:pos="1320"/>
              <w:tab w:val="right" w:leader="dot" w:pos="8290"/>
            </w:tabs>
            <w:rPr>
              <w:noProof/>
              <w:sz w:val="22"/>
              <w:szCs w:val="22"/>
              <w:lang w:val="en-GB" w:eastAsia="en-GB"/>
            </w:rPr>
          </w:pPr>
          <w:hyperlink w:anchor="_Toc496014017" w:history="1">
            <w:r w:rsidR="00404DD5" w:rsidRPr="00E97D5E">
              <w:rPr>
                <w:rStyle w:val="Hyperlink"/>
                <w:noProof/>
                <w:lang w:val="en-GB"/>
              </w:rPr>
              <w:t>2.2.3</w:t>
            </w:r>
            <w:r w:rsidR="00404DD5">
              <w:rPr>
                <w:noProof/>
                <w:sz w:val="22"/>
                <w:szCs w:val="22"/>
                <w:lang w:val="en-GB" w:eastAsia="en-GB"/>
              </w:rPr>
              <w:tab/>
            </w:r>
            <w:r w:rsidR="00404DD5" w:rsidRPr="00E97D5E">
              <w:rPr>
                <w:rStyle w:val="Hyperlink"/>
                <w:noProof/>
                <w:lang w:val="en-GB"/>
              </w:rPr>
              <w:t>Exclusion of competence over Kosovo courts</w:t>
            </w:r>
            <w:r w:rsidR="00404DD5">
              <w:rPr>
                <w:noProof/>
                <w:webHidden/>
              </w:rPr>
              <w:tab/>
            </w:r>
            <w:r w:rsidR="00404DD5">
              <w:rPr>
                <w:noProof/>
                <w:webHidden/>
              </w:rPr>
              <w:fldChar w:fldCharType="begin"/>
            </w:r>
            <w:r w:rsidR="00404DD5">
              <w:rPr>
                <w:noProof/>
                <w:webHidden/>
              </w:rPr>
              <w:instrText xml:space="preserve"> PAGEREF _Toc496014017 \h </w:instrText>
            </w:r>
            <w:r w:rsidR="00404DD5">
              <w:rPr>
                <w:noProof/>
                <w:webHidden/>
              </w:rPr>
            </w:r>
            <w:r w:rsidR="00404DD5">
              <w:rPr>
                <w:noProof/>
                <w:webHidden/>
              </w:rPr>
              <w:fldChar w:fldCharType="separate"/>
            </w:r>
            <w:r w:rsidR="00404DD5">
              <w:rPr>
                <w:noProof/>
                <w:webHidden/>
              </w:rPr>
              <w:t>5</w:t>
            </w:r>
            <w:r w:rsidR="00404DD5">
              <w:rPr>
                <w:noProof/>
                <w:webHidden/>
              </w:rPr>
              <w:fldChar w:fldCharType="end"/>
            </w:r>
          </w:hyperlink>
        </w:p>
        <w:p w14:paraId="234462C3" w14:textId="77777777" w:rsidR="00404DD5" w:rsidRDefault="002956E1">
          <w:pPr>
            <w:pStyle w:val="TOC3"/>
            <w:tabs>
              <w:tab w:val="left" w:pos="1320"/>
              <w:tab w:val="right" w:leader="dot" w:pos="8290"/>
            </w:tabs>
            <w:rPr>
              <w:noProof/>
              <w:sz w:val="22"/>
              <w:szCs w:val="22"/>
              <w:lang w:val="en-GB" w:eastAsia="en-GB"/>
            </w:rPr>
          </w:pPr>
          <w:hyperlink w:anchor="_Toc496014018" w:history="1">
            <w:r w:rsidR="00404DD5" w:rsidRPr="00E97D5E">
              <w:rPr>
                <w:rStyle w:val="Hyperlink"/>
                <w:noProof/>
                <w:lang w:val="en-GB"/>
              </w:rPr>
              <w:t>2.2.4</w:t>
            </w:r>
            <w:r w:rsidR="00404DD5">
              <w:rPr>
                <w:noProof/>
                <w:sz w:val="22"/>
                <w:szCs w:val="22"/>
                <w:lang w:val="en-GB" w:eastAsia="en-GB"/>
              </w:rPr>
              <w:tab/>
            </w:r>
            <w:r w:rsidR="00404DD5" w:rsidRPr="00E97D5E">
              <w:rPr>
                <w:rStyle w:val="Hyperlink"/>
                <w:noProof/>
                <w:lang w:val="en-GB"/>
              </w:rPr>
              <w:t>EULEX Police and Prosecutors</w:t>
            </w:r>
            <w:r w:rsidR="00404DD5">
              <w:rPr>
                <w:noProof/>
                <w:webHidden/>
              </w:rPr>
              <w:tab/>
            </w:r>
            <w:r w:rsidR="00404DD5">
              <w:rPr>
                <w:noProof/>
                <w:webHidden/>
              </w:rPr>
              <w:fldChar w:fldCharType="begin"/>
            </w:r>
            <w:r w:rsidR="00404DD5">
              <w:rPr>
                <w:noProof/>
                <w:webHidden/>
              </w:rPr>
              <w:instrText xml:space="preserve"> PAGEREF _Toc496014018 \h </w:instrText>
            </w:r>
            <w:r w:rsidR="00404DD5">
              <w:rPr>
                <w:noProof/>
                <w:webHidden/>
              </w:rPr>
            </w:r>
            <w:r w:rsidR="00404DD5">
              <w:rPr>
                <w:noProof/>
                <w:webHidden/>
              </w:rPr>
              <w:fldChar w:fldCharType="separate"/>
            </w:r>
            <w:r w:rsidR="00404DD5">
              <w:rPr>
                <w:noProof/>
                <w:webHidden/>
              </w:rPr>
              <w:t>11</w:t>
            </w:r>
            <w:r w:rsidR="00404DD5">
              <w:rPr>
                <w:noProof/>
                <w:webHidden/>
              </w:rPr>
              <w:fldChar w:fldCharType="end"/>
            </w:r>
          </w:hyperlink>
        </w:p>
        <w:p w14:paraId="118D93A8" w14:textId="77777777" w:rsidR="00404DD5" w:rsidRDefault="002956E1">
          <w:pPr>
            <w:pStyle w:val="TOC3"/>
            <w:tabs>
              <w:tab w:val="left" w:pos="1320"/>
              <w:tab w:val="right" w:leader="dot" w:pos="8290"/>
            </w:tabs>
            <w:rPr>
              <w:noProof/>
              <w:sz w:val="22"/>
              <w:szCs w:val="22"/>
              <w:lang w:val="en-GB" w:eastAsia="en-GB"/>
            </w:rPr>
          </w:pPr>
          <w:hyperlink w:anchor="_Toc496014019" w:history="1">
            <w:r w:rsidR="00404DD5" w:rsidRPr="00E97D5E">
              <w:rPr>
                <w:rStyle w:val="Hyperlink"/>
                <w:noProof/>
                <w:lang w:val="en-GB"/>
              </w:rPr>
              <w:t>2.2.5</w:t>
            </w:r>
            <w:r w:rsidR="00404DD5">
              <w:rPr>
                <w:noProof/>
                <w:sz w:val="22"/>
                <w:szCs w:val="22"/>
                <w:lang w:val="en-GB" w:eastAsia="en-GB"/>
              </w:rPr>
              <w:tab/>
            </w:r>
            <w:r w:rsidR="00404DD5" w:rsidRPr="00E97D5E">
              <w:rPr>
                <w:rStyle w:val="Hyperlink"/>
                <w:noProof/>
                <w:lang w:val="en-GB"/>
              </w:rPr>
              <w:t>Private disputes</w:t>
            </w:r>
            <w:r w:rsidR="00404DD5">
              <w:rPr>
                <w:noProof/>
                <w:webHidden/>
              </w:rPr>
              <w:tab/>
            </w:r>
            <w:r w:rsidR="00404DD5">
              <w:rPr>
                <w:noProof/>
                <w:webHidden/>
              </w:rPr>
              <w:fldChar w:fldCharType="begin"/>
            </w:r>
            <w:r w:rsidR="00404DD5">
              <w:rPr>
                <w:noProof/>
                <w:webHidden/>
              </w:rPr>
              <w:instrText xml:space="preserve"> PAGEREF _Toc496014019 \h </w:instrText>
            </w:r>
            <w:r w:rsidR="00404DD5">
              <w:rPr>
                <w:noProof/>
                <w:webHidden/>
              </w:rPr>
            </w:r>
            <w:r w:rsidR="00404DD5">
              <w:rPr>
                <w:noProof/>
                <w:webHidden/>
              </w:rPr>
              <w:fldChar w:fldCharType="separate"/>
            </w:r>
            <w:r w:rsidR="00404DD5">
              <w:rPr>
                <w:noProof/>
                <w:webHidden/>
              </w:rPr>
              <w:t>24</w:t>
            </w:r>
            <w:r w:rsidR="00404DD5">
              <w:rPr>
                <w:noProof/>
                <w:webHidden/>
              </w:rPr>
              <w:fldChar w:fldCharType="end"/>
            </w:r>
          </w:hyperlink>
        </w:p>
        <w:p w14:paraId="7F664C13" w14:textId="77777777" w:rsidR="00404DD5" w:rsidRDefault="002956E1">
          <w:pPr>
            <w:pStyle w:val="TOC3"/>
            <w:tabs>
              <w:tab w:val="left" w:pos="1320"/>
              <w:tab w:val="right" w:leader="dot" w:pos="8290"/>
            </w:tabs>
            <w:rPr>
              <w:noProof/>
              <w:sz w:val="22"/>
              <w:szCs w:val="22"/>
              <w:lang w:val="en-GB" w:eastAsia="en-GB"/>
            </w:rPr>
          </w:pPr>
          <w:hyperlink w:anchor="_Toc496014020" w:history="1">
            <w:r w:rsidR="00404DD5" w:rsidRPr="00E97D5E">
              <w:rPr>
                <w:rStyle w:val="Hyperlink"/>
                <w:noProof/>
                <w:lang w:val="en-GB"/>
              </w:rPr>
              <w:t>2.2.6</w:t>
            </w:r>
            <w:r w:rsidR="00404DD5">
              <w:rPr>
                <w:noProof/>
                <w:sz w:val="22"/>
                <w:szCs w:val="22"/>
                <w:lang w:val="en-GB" w:eastAsia="en-GB"/>
              </w:rPr>
              <w:tab/>
            </w:r>
            <w:r w:rsidR="00404DD5" w:rsidRPr="00E97D5E">
              <w:rPr>
                <w:rStyle w:val="Hyperlink"/>
                <w:noProof/>
                <w:lang w:val="en-GB"/>
              </w:rPr>
              <w:t>No competence over violations against EULEX personnel</w:t>
            </w:r>
            <w:r w:rsidR="00404DD5">
              <w:rPr>
                <w:noProof/>
                <w:webHidden/>
              </w:rPr>
              <w:tab/>
            </w:r>
            <w:r w:rsidR="00404DD5">
              <w:rPr>
                <w:noProof/>
                <w:webHidden/>
              </w:rPr>
              <w:fldChar w:fldCharType="begin"/>
            </w:r>
            <w:r w:rsidR="00404DD5">
              <w:rPr>
                <w:noProof/>
                <w:webHidden/>
              </w:rPr>
              <w:instrText xml:space="preserve"> PAGEREF _Toc496014020 \h </w:instrText>
            </w:r>
            <w:r w:rsidR="00404DD5">
              <w:rPr>
                <w:noProof/>
                <w:webHidden/>
              </w:rPr>
            </w:r>
            <w:r w:rsidR="00404DD5">
              <w:rPr>
                <w:noProof/>
                <w:webHidden/>
              </w:rPr>
              <w:fldChar w:fldCharType="separate"/>
            </w:r>
            <w:r w:rsidR="00404DD5">
              <w:rPr>
                <w:noProof/>
                <w:webHidden/>
              </w:rPr>
              <w:t>24</w:t>
            </w:r>
            <w:r w:rsidR="00404DD5">
              <w:rPr>
                <w:noProof/>
                <w:webHidden/>
              </w:rPr>
              <w:fldChar w:fldCharType="end"/>
            </w:r>
          </w:hyperlink>
        </w:p>
        <w:p w14:paraId="12817003" w14:textId="77777777" w:rsidR="00404DD5" w:rsidRDefault="002956E1">
          <w:pPr>
            <w:pStyle w:val="TOC2"/>
            <w:tabs>
              <w:tab w:val="left" w:pos="880"/>
              <w:tab w:val="right" w:leader="dot" w:pos="8290"/>
            </w:tabs>
            <w:rPr>
              <w:noProof/>
              <w:sz w:val="22"/>
              <w:szCs w:val="22"/>
              <w:lang w:val="en-GB" w:eastAsia="en-GB"/>
            </w:rPr>
          </w:pPr>
          <w:hyperlink w:anchor="_Toc496014021" w:history="1">
            <w:r w:rsidR="00404DD5" w:rsidRPr="00E97D5E">
              <w:rPr>
                <w:rStyle w:val="Hyperlink"/>
                <w:noProof/>
                <w:lang w:val="en-GB"/>
              </w:rPr>
              <w:t>2.3</w:t>
            </w:r>
            <w:r w:rsidR="00404DD5">
              <w:rPr>
                <w:noProof/>
                <w:sz w:val="22"/>
                <w:szCs w:val="22"/>
                <w:lang w:val="en-GB" w:eastAsia="en-GB"/>
              </w:rPr>
              <w:tab/>
            </w:r>
            <w:r w:rsidR="00404DD5" w:rsidRPr="00E97D5E">
              <w:rPr>
                <w:rStyle w:val="Hyperlink"/>
                <w:noProof/>
                <w:lang w:val="en-GB"/>
              </w:rPr>
              <w:t>Ratione temporis</w:t>
            </w:r>
            <w:r w:rsidR="00404DD5">
              <w:rPr>
                <w:noProof/>
                <w:webHidden/>
              </w:rPr>
              <w:tab/>
            </w:r>
            <w:r w:rsidR="00404DD5">
              <w:rPr>
                <w:noProof/>
                <w:webHidden/>
              </w:rPr>
              <w:fldChar w:fldCharType="begin"/>
            </w:r>
            <w:r w:rsidR="00404DD5">
              <w:rPr>
                <w:noProof/>
                <w:webHidden/>
              </w:rPr>
              <w:instrText xml:space="preserve"> PAGEREF _Toc496014021 \h </w:instrText>
            </w:r>
            <w:r w:rsidR="00404DD5">
              <w:rPr>
                <w:noProof/>
                <w:webHidden/>
              </w:rPr>
            </w:r>
            <w:r w:rsidR="00404DD5">
              <w:rPr>
                <w:noProof/>
                <w:webHidden/>
              </w:rPr>
              <w:fldChar w:fldCharType="separate"/>
            </w:r>
            <w:r w:rsidR="00404DD5">
              <w:rPr>
                <w:noProof/>
                <w:webHidden/>
              </w:rPr>
              <w:t>24</w:t>
            </w:r>
            <w:r w:rsidR="00404DD5">
              <w:rPr>
                <w:noProof/>
                <w:webHidden/>
              </w:rPr>
              <w:fldChar w:fldCharType="end"/>
            </w:r>
          </w:hyperlink>
        </w:p>
        <w:p w14:paraId="0AB2E75A" w14:textId="77777777" w:rsidR="00404DD5" w:rsidRDefault="002956E1">
          <w:pPr>
            <w:pStyle w:val="TOC2"/>
            <w:tabs>
              <w:tab w:val="left" w:pos="880"/>
              <w:tab w:val="right" w:leader="dot" w:pos="8290"/>
            </w:tabs>
            <w:rPr>
              <w:noProof/>
              <w:sz w:val="22"/>
              <w:szCs w:val="22"/>
              <w:lang w:val="en-GB" w:eastAsia="en-GB"/>
            </w:rPr>
          </w:pPr>
          <w:hyperlink w:anchor="_Toc496014022" w:history="1">
            <w:r w:rsidR="00404DD5" w:rsidRPr="00E97D5E">
              <w:rPr>
                <w:rStyle w:val="Hyperlink"/>
                <w:noProof/>
                <w:lang w:val="en-GB"/>
              </w:rPr>
              <w:t>2.4</w:t>
            </w:r>
            <w:r w:rsidR="00404DD5">
              <w:rPr>
                <w:noProof/>
                <w:sz w:val="22"/>
                <w:szCs w:val="22"/>
                <w:lang w:val="en-GB" w:eastAsia="en-GB"/>
              </w:rPr>
              <w:tab/>
            </w:r>
            <w:r w:rsidR="00404DD5" w:rsidRPr="00E97D5E">
              <w:rPr>
                <w:rStyle w:val="Hyperlink"/>
                <w:noProof/>
                <w:lang w:val="en-GB"/>
              </w:rPr>
              <w:t>Ratione personae</w:t>
            </w:r>
            <w:r w:rsidR="00404DD5">
              <w:rPr>
                <w:noProof/>
                <w:webHidden/>
              </w:rPr>
              <w:tab/>
            </w:r>
            <w:r w:rsidR="00404DD5">
              <w:rPr>
                <w:noProof/>
                <w:webHidden/>
              </w:rPr>
              <w:fldChar w:fldCharType="begin"/>
            </w:r>
            <w:r w:rsidR="00404DD5">
              <w:rPr>
                <w:noProof/>
                <w:webHidden/>
              </w:rPr>
              <w:instrText xml:space="preserve"> PAGEREF _Toc496014022 \h </w:instrText>
            </w:r>
            <w:r w:rsidR="00404DD5">
              <w:rPr>
                <w:noProof/>
                <w:webHidden/>
              </w:rPr>
            </w:r>
            <w:r w:rsidR="00404DD5">
              <w:rPr>
                <w:noProof/>
                <w:webHidden/>
              </w:rPr>
              <w:fldChar w:fldCharType="separate"/>
            </w:r>
            <w:r w:rsidR="00404DD5">
              <w:rPr>
                <w:noProof/>
                <w:webHidden/>
              </w:rPr>
              <w:t>27</w:t>
            </w:r>
            <w:r w:rsidR="00404DD5">
              <w:rPr>
                <w:noProof/>
                <w:webHidden/>
              </w:rPr>
              <w:fldChar w:fldCharType="end"/>
            </w:r>
          </w:hyperlink>
        </w:p>
        <w:p w14:paraId="0C622D62" w14:textId="77777777" w:rsidR="00404DD5" w:rsidRDefault="002956E1">
          <w:pPr>
            <w:pStyle w:val="TOC2"/>
            <w:tabs>
              <w:tab w:val="left" w:pos="880"/>
              <w:tab w:val="right" w:leader="dot" w:pos="8290"/>
            </w:tabs>
            <w:rPr>
              <w:noProof/>
              <w:sz w:val="22"/>
              <w:szCs w:val="22"/>
              <w:lang w:val="en-GB" w:eastAsia="en-GB"/>
            </w:rPr>
          </w:pPr>
          <w:hyperlink w:anchor="_Toc496014023" w:history="1">
            <w:r w:rsidR="00404DD5" w:rsidRPr="00E97D5E">
              <w:rPr>
                <w:rStyle w:val="Hyperlink"/>
                <w:noProof/>
                <w:lang w:val="en-GB"/>
              </w:rPr>
              <w:t>2.5</w:t>
            </w:r>
            <w:r w:rsidR="00404DD5">
              <w:rPr>
                <w:noProof/>
                <w:sz w:val="22"/>
                <w:szCs w:val="22"/>
                <w:lang w:val="en-GB" w:eastAsia="en-GB"/>
              </w:rPr>
              <w:tab/>
            </w:r>
            <w:r w:rsidR="00404DD5" w:rsidRPr="00E97D5E">
              <w:rPr>
                <w:rStyle w:val="Hyperlink"/>
                <w:noProof/>
                <w:lang w:val="en-GB"/>
              </w:rPr>
              <w:t>Ratione loci</w:t>
            </w:r>
            <w:r w:rsidR="00404DD5">
              <w:rPr>
                <w:noProof/>
                <w:webHidden/>
              </w:rPr>
              <w:tab/>
            </w:r>
            <w:r w:rsidR="00404DD5">
              <w:rPr>
                <w:noProof/>
                <w:webHidden/>
              </w:rPr>
              <w:fldChar w:fldCharType="begin"/>
            </w:r>
            <w:r w:rsidR="00404DD5">
              <w:rPr>
                <w:noProof/>
                <w:webHidden/>
              </w:rPr>
              <w:instrText xml:space="preserve"> PAGEREF _Toc496014023 \h </w:instrText>
            </w:r>
            <w:r w:rsidR="00404DD5">
              <w:rPr>
                <w:noProof/>
                <w:webHidden/>
              </w:rPr>
            </w:r>
            <w:r w:rsidR="00404DD5">
              <w:rPr>
                <w:noProof/>
                <w:webHidden/>
              </w:rPr>
              <w:fldChar w:fldCharType="separate"/>
            </w:r>
            <w:r w:rsidR="00404DD5">
              <w:rPr>
                <w:noProof/>
                <w:webHidden/>
              </w:rPr>
              <w:t>29</w:t>
            </w:r>
            <w:r w:rsidR="00404DD5">
              <w:rPr>
                <w:noProof/>
                <w:webHidden/>
              </w:rPr>
              <w:fldChar w:fldCharType="end"/>
            </w:r>
          </w:hyperlink>
        </w:p>
        <w:p w14:paraId="2D73B93B" w14:textId="77777777" w:rsidR="00404DD5" w:rsidRDefault="002956E1">
          <w:pPr>
            <w:pStyle w:val="TOC1"/>
            <w:rPr>
              <w:noProof/>
              <w:sz w:val="22"/>
              <w:szCs w:val="22"/>
              <w:lang w:val="en-GB" w:eastAsia="en-GB"/>
            </w:rPr>
          </w:pPr>
          <w:hyperlink w:anchor="_Toc496014024" w:history="1">
            <w:r w:rsidR="00404DD5" w:rsidRPr="00E97D5E">
              <w:rPr>
                <w:rStyle w:val="Hyperlink"/>
                <w:noProof/>
                <w:lang w:val="en-GB"/>
              </w:rPr>
              <w:t>3.</w:t>
            </w:r>
            <w:r w:rsidR="00404DD5">
              <w:rPr>
                <w:noProof/>
                <w:sz w:val="22"/>
                <w:szCs w:val="22"/>
                <w:lang w:val="en-GB" w:eastAsia="en-GB"/>
              </w:rPr>
              <w:tab/>
            </w:r>
            <w:r w:rsidR="00404DD5" w:rsidRPr="00E97D5E">
              <w:rPr>
                <w:rStyle w:val="Hyperlink"/>
                <w:noProof/>
                <w:lang w:val="en-GB"/>
              </w:rPr>
              <w:t>Scope of reviewing authority of the Panel</w:t>
            </w:r>
            <w:r w:rsidR="00404DD5">
              <w:rPr>
                <w:noProof/>
                <w:webHidden/>
              </w:rPr>
              <w:tab/>
            </w:r>
            <w:r w:rsidR="00404DD5">
              <w:rPr>
                <w:noProof/>
                <w:webHidden/>
              </w:rPr>
              <w:fldChar w:fldCharType="begin"/>
            </w:r>
            <w:r w:rsidR="00404DD5">
              <w:rPr>
                <w:noProof/>
                <w:webHidden/>
              </w:rPr>
              <w:instrText xml:space="preserve"> PAGEREF _Toc496014024 \h </w:instrText>
            </w:r>
            <w:r w:rsidR="00404DD5">
              <w:rPr>
                <w:noProof/>
                <w:webHidden/>
              </w:rPr>
            </w:r>
            <w:r w:rsidR="00404DD5">
              <w:rPr>
                <w:noProof/>
                <w:webHidden/>
              </w:rPr>
              <w:fldChar w:fldCharType="separate"/>
            </w:r>
            <w:r w:rsidR="00404DD5">
              <w:rPr>
                <w:noProof/>
                <w:webHidden/>
              </w:rPr>
              <w:t>30</w:t>
            </w:r>
            <w:r w:rsidR="00404DD5">
              <w:rPr>
                <w:noProof/>
                <w:webHidden/>
              </w:rPr>
              <w:fldChar w:fldCharType="end"/>
            </w:r>
          </w:hyperlink>
        </w:p>
        <w:p w14:paraId="4B95E1DA" w14:textId="77777777" w:rsidR="00404DD5" w:rsidRDefault="002956E1">
          <w:pPr>
            <w:pStyle w:val="TOC2"/>
            <w:tabs>
              <w:tab w:val="left" w:pos="880"/>
              <w:tab w:val="right" w:leader="dot" w:pos="8290"/>
            </w:tabs>
            <w:rPr>
              <w:noProof/>
              <w:sz w:val="22"/>
              <w:szCs w:val="22"/>
              <w:lang w:val="en-GB" w:eastAsia="en-GB"/>
            </w:rPr>
          </w:pPr>
          <w:hyperlink w:anchor="_Toc496014025" w:history="1">
            <w:r w:rsidR="00404DD5" w:rsidRPr="00E97D5E">
              <w:rPr>
                <w:rStyle w:val="Hyperlink"/>
                <w:noProof/>
                <w:lang w:val="en-GB"/>
              </w:rPr>
              <w:t>3.1</w:t>
            </w:r>
            <w:r w:rsidR="00404DD5">
              <w:rPr>
                <w:noProof/>
                <w:sz w:val="22"/>
                <w:szCs w:val="22"/>
                <w:lang w:val="en-GB" w:eastAsia="en-GB"/>
              </w:rPr>
              <w:tab/>
            </w:r>
            <w:r w:rsidR="00404DD5" w:rsidRPr="00E97D5E">
              <w:rPr>
                <w:rStyle w:val="Hyperlink"/>
                <w:noProof/>
                <w:lang w:val="en-GB"/>
              </w:rPr>
              <w:t>Complaint by a victim and absence of proprio motu competence</w:t>
            </w:r>
            <w:r w:rsidR="00404DD5">
              <w:rPr>
                <w:noProof/>
                <w:webHidden/>
              </w:rPr>
              <w:tab/>
            </w:r>
            <w:r w:rsidR="00404DD5">
              <w:rPr>
                <w:noProof/>
                <w:webHidden/>
              </w:rPr>
              <w:fldChar w:fldCharType="begin"/>
            </w:r>
            <w:r w:rsidR="00404DD5">
              <w:rPr>
                <w:noProof/>
                <w:webHidden/>
              </w:rPr>
              <w:instrText xml:space="preserve"> PAGEREF _Toc496014025 \h </w:instrText>
            </w:r>
            <w:r w:rsidR="00404DD5">
              <w:rPr>
                <w:noProof/>
                <w:webHidden/>
              </w:rPr>
            </w:r>
            <w:r w:rsidR="00404DD5">
              <w:rPr>
                <w:noProof/>
                <w:webHidden/>
              </w:rPr>
              <w:fldChar w:fldCharType="separate"/>
            </w:r>
            <w:r w:rsidR="00404DD5">
              <w:rPr>
                <w:noProof/>
                <w:webHidden/>
              </w:rPr>
              <w:t>30</w:t>
            </w:r>
            <w:r w:rsidR="00404DD5">
              <w:rPr>
                <w:noProof/>
                <w:webHidden/>
              </w:rPr>
              <w:fldChar w:fldCharType="end"/>
            </w:r>
          </w:hyperlink>
        </w:p>
        <w:p w14:paraId="500644BB" w14:textId="77777777" w:rsidR="00404DD5" w:rsidRDefault="002956E1">
          <w:pPr>
            <w:pStyle w:val="TOC2"/>
            <w:tabs>
              <w:tab w:val="left" w:pos="880"/>
              <w:tab w:val="right" w:leader="dot" w:pos="8290"/>
            </w:tabs>
            <w:rPr>
              <w:noProof/>
              <w:sz w:val="22"/>
              <w:szCs w:val="22"/>
              <w:lang w:val="en-GB" w:eastAsia="en-GB"/>
            </w:rPr>
          </w:pPr>
          <w:hyperlink w:anchor="_Toc496014026" w:history="1">
            <w:r w:rsidR="00404DD5" w:rsidRPr="00E97D5E">
              <w:rPr>
                <w:rStyle w:val="Hyperlink"/>
                <w:noProof/>
                <w:lang w:val="en-GB"/>
              </w:rPr>
              <w:t>3.2</w:t>
            </w:r>
            <w:r w:rsidR="00404DD5">
              <w:rPr>
                <w:noProof/>
                <w:sz w:val="22"/>
                <w:szCs w:val="22"/>
                <w:lang w:val="en-GB" w:eastAsia="en-GB"/>
              </w:rPr>
              <w:tab/>
            </w:r>
            <w:r w:rsidR="00404DD5" w:rsidRPr="00E97D5E">
              <w:rPr>
                <w:rStyle w:val="Hyperlink"/>
                <w:noProof/>
                <w:lang w:val="en-GB"/>
              </w:rPr>
              <w:t>No appellate function of the Panel</w:t>
            </w:r>
            <w:r w:rsidR="00404DD5">
              <w:rPr>
                <w:noProof/>
                <w:webHidden/>
              </w:rPr>
              <w:tab/>
            </w:r>
            <w:r w:rsidR="00404DD5">
              <w:rPr>
                <w:noProof/>
                <w:webHidden/>
              </w:rPr>
              <w:fldChar w:fldCharType="begin"/>
            </w:r>
            <w:r w:rsidR="00404DD5">
              <w:rPr>
                <w:noProof/>
                <w:webHidden/>
              </w:rPr>
              <w:instrText xml:space="preserve"> PAGEREF _Toc496014026 \h </w:instrText>
            </w:r>
            <w:r w:rsidR="00404DD5">
              <w:rPr>
                <w:noProof/>
                <w:webHidden/>
              </w:rPr>
            </w:r>
            <w:r w:rsidR="00404DD5">
              <w:rPr>
                <w:noProof/>
                <w:webHidden/>
              </w:rPr>
              <w:fldChar w:fldCharType="separate"/>
            </w:r>
            <w:r w:rsidR="00404DD5">
              <w:rPr>
                <w:noProof/>
                <w:webHidden/>
              </w:rPr>
              <w:t>30</w:t>
            </w:r>
            <w:r w:rsidR="00404DD5">
              <w:rPr>
                <w:noProof/>
                <w:webHidden/>
              </w:rPr>
              <w:fldChar w:fldCharType="end"/>
            </w:r>
          </w:hyperlink>
        </w:p>
        <w:p w14:paraId="1B87A04A" w14:textId="77777777" w:rsidR="00404DD5" w:rsidRDefault="002956E1">
          <w:pPr>
            <w:pStyle w:val="TOC2"/>
            <w:tabs>
              <w:tab w:val="left" w:pos="880"/>
              <w:tab w:val="right" w:leader="dot" w:pos="8290"/>
            </w:tabs>
            <w:rPr>
              <w:noProof/>
              <w:sz w:val="22"/>
              <w:szCs w:val="22"/>
              <w:lang w:val="en-GB" w:eastAsia="en-GB"/>
            </w:rPr>
          </w:pPr>
          <w:hyperlink w:anchor="_Toc496014027" w:history="1">
            <w:r w:rsidR="00404DD5" w:rsidRPr="00E97D5E">
              <w:rPr>
                <w:rStyle w:val="Hyperlink"/>
                <w:noProof/>
                <w:lang w:val="en-GB"/>
              </w:rPr>
              <w:t>3.3</w:t>
            </w:r>
            <w:r w:rsidR="00404DD5">
              <w:rPr>
                <w:noProof/>
                <w:sz w:val="22"/>
                <w:szCs w:val="22"/>
                <w:lang w:val="en-GB" w:eastAsia="en-GB"/>
              </w:rPr>
              <w:tab/>
            </w:r>
            <w:r w:rsidR="00404DD5" w:rsidRPr="00E97D5E">
              <w:rPr>
                <w:rStyle w:val="Hyperlink"/>
                <w:noProof/>
                <w:lang w:val="en-GB"/>
              </w:rPr>
              <w:t>Recommendatory competence only</w:t>
            </w:r>
            <w:r w:rsidR="00404DD5">
              <w:rPr>
                <w:noProof/>
                <w:webHidden/>
              </w:rPr>
              <w:tab/>
            </w:r>
            <w:r w:rsidR="00404DD5">
              <w:rPr>
                <w:noProof/>
                <w:webHidden/>
              </w:rPr>
              <w:fldChar w:fldCharType="begin"/>
            </w:r>
            <w:r w:rsidR="00404DD5">
              <w:rPr>
                <w:noProof/>
                <w:webHidden/>
              </w:rPr>
              <w:instrText xml:space="preserve"> PAGEREF _Toc496014027 \h </w:instrText>
            </w:r>
            <w:r w:rsidR="00404DD5">
              <w:rPr>
                <w:noProof/>
                <w:webHidden/>
              </w:rPr>
            </w:r>
            <w:r w:rsidR="00404DD5">
              <w:rPr>
                <w:noProof/>
                <w:webHidden/>
              </w:rPr>
              <w:fldChar w:fldCharType="separate"/>
            </w:r>
            <w:r w:rsidR="00404DD5">
              <w:rPr>
                <w:noProof/>
                <w:webHidden/>
              </w:rPr>
              <w:t>30</w:t>
            </w:r>
            <w:r w:rsidR="00404DD5">
              <w:rPr>
                <w:noProof/>
                <w:webHidden/>
              </w:rPr>
              <w:fldChar w:fldCharType="end"/>
            </w:r>
          </w:hyperlink>
        </w:p>
        <w:p w14:paraId="3D1CEF01" w14:textId="77777777" w:rsidR="00404DD5" w:rsidRDefault="002956E1">
          <w:pPr>
            <w:pStyle w:val="TOC1"/>
            <w:rPr>
              <w:noProof/>
              <w:sz w:val="22"/>
              <w:szCs w:val="22"/>
              <w:lang w:val="en-GB" w:eastAsia="en-GB"/>
            </w:rPr>
          </w:pPr>
          <w:hyperlink w:anchor="_Toc496014028" w:history="1">
            <w:r w:rsidR="00404DD5" w:rsidRPr="00E97D5E">
              <w:rPr>
                <w:rStyle w:val="Hyperlink"/>
                <w:noProof/>
                <w:lang w:val="en-GB"/>
              </w:rPr>
              <w:t>4.</w:t>
            </w:r>
            <w:r w:rsidR="00404DD5">
              <w:rPr>
                <w:noProof/>
                <w:sz w:val="22"/>
                <w:szCs w:val="22"/>
                <w:lang w:val="en-GB" w:eastAsia="en-GB"/>
              </w:rPr>
              <w:tab/>
            </w:r>
            <w:r w:rsidR="00404DD5" w:rsidRPr="00E97D5E">
              <w:rPr>
                <w:rStyle w:val="Hyperlink"/>
                <w:noProof/>
                <w:lang w:val="en-GB"/>
              </w:rPr>
              <w:t>Requirements of form and procedure</w:t>
            </w:r>
            <w:r w:rsidR="00404DD5">
              <w:rPr>
                <w:noProof/>
                <w:webHidden/>
              </w:rPr>
              <w:tab/>
            </w:r>
            <w:r w:rsidR="00404DD5">
              <w:rPr>
                <w:noProof/>
                <w:webHidden/>
              </w:rPr>
              <w:fldChar w:fldCharType="begin"/>
            </w:r>
            <w:r w:rsidR="00404DD5">
              <w:rPr>
                <w:noProof/>
                <w:webHidden/>
              </w:rPr>
              <w:instrText xml:space="preserve"> PAGEREF _Toc496014028 \h </w:instrText>
            </w:r>
            <w:r w:rsidR="00404DD5">
              <w:rPr>
                <w:noProof/>
                <w:webHidden/>
              </w:rPr>
            </w:r>
            <w:r w:rsidR="00404DD5">
              <w:rPr>
                <w:noProof/>
                <w:webHidden/>
              </w:rPr>
              <w:fldChar w:fldCharType="separate"/>
            </w:r>
            <w:r w:rsidR="00404DD5">
              <w:rPr>
                <w:noProof/>
                <w:webHidden/>
              </w:rPr>
              <w:t>31</w:t>
            </w:r>
            <w:r w:rsidR="00404DD5">
              <w:rPr>
                <w:noProof/>
                <w:webHidden/>
              </w:rPr>
              <w:fldChar w:fldCharType="end"/>
            </w:r>
          </w:hyperlink>
        </w:p>
        <w:p w14:paraId="1A09D514" w14:textId="77777777" w:rsidR="00404DD5" w:rsidRDefault="002956E1">
          <w:pPr>
            <w:pStyle w:val="TOC2"/>
            <w:tabs>
              <w:tab w:val="left" w:pos="880"/>
              <w:tab w:val="right" w:leader="dot" w:pos="8290"/>
            </w:tabs>
            <w:rPr>
              <w:noProof/>
              <w:sz w:val="22"/>
              <w:szCs w:val="22"/>
              <w:lang w:val="en-GB" w:eastAsia="en-GB"/>
            </w:rPr>
          </w:pPr>
          <w:hyperlink w:anchor="_Toc496014029" w:history="1">
            <w:r w:rsidR="00404DD5" w:rsidRPr="00E97D5E">
              <w:rPr>
                <w:rStyle w:val="Hyperlink"/>
                <w:noProof/>
                <w:lang w:val="en-GB"/>
              </w:rPr>
              <w:t>4.1</w:t>
            </w:r>
            <w:r w:rsidR="00404DD5">
              <w:rPr>
                <w:noProof/>
                <w:sz w:val="22"/>
                <w:szCs w:val="22"/>
                <w:lang w:val="en-GB" w:eastAsia="en-GB"/>
              </w:rPr>
              <w:tab/>
            </w:r>
            <w:r w:rsidR="00404DD5" w:rsidRPr="00E97D5E">
              <w:rPr>
                <w:rStyle w:val="Hyperlink"/>
                <w:noProof/>
                <w:lang w:val="en-GB"/>
              </w:rPr>
              <w:t xml:space="preserve"> Requirements of form</w:t>
            </w:r>
            <w:r w:rsidR="00404DD5">
              <w:rPr>
                <w:noProof/>
                <w:webHidden/>
              </w:rPr>
              <w:tab/>
            </w:r>
            <w:r w:rsidR="00404DD5">
              <w:rPr>
                <w:noProof/>
                <w:webHidden/>
              </w:rPr>
              <w:fldChar w:fldCharType="begin"/>
            </w:r>
            <w:r w:rsidR="00404DD5">
              <w:rPr>
                <w:noProof/>
                <w:webHidden/>
              </w:rPr>
              <w:instrText xml:space="preserve"> PAGEREF _Toc496014029 \h </w:instrText>
            </w:r>
            <w:r w:rsidR="00404DD5">
              <w:rPr>
                <w:noProof/>
                <w:webHidden/>
              </w:rPr>
            </w:r>
            <w:r w:rsidR="00404DD5">
              <w:rPr>
                <w:noProof/>
                <w:webHidden/>
              </w:rPr>
              <w:fldChar w:fldCharType="separate"/>
            </w:r>
            <w:r w:rsidR="00404DD5">
              <w:rPr>
                <w:noProof/>
                <w:webHidden/>
              </w:rPr>
              <w:t>31</w:t>
            </w:r>
            <w:r w:rsidR="00404DD5">
              <w:rPr>
                <w:noProof/>
                <w:webHidden/>
              </w:rPr>
              <w:fldChar w:fldCharType="end"/>
            </w:r>
          </w:hyperlink>
        </w:p>
        <w:p w14:paraId="06402055" w14:textId="77777777" w:rsidR="00404DD5" w:rsidRDefault="002956E1">
          <w:pPr>
            <w:pStyle w:val="TOC3"/>
            <w:tabs>
              <w:tab w:val="left" w:pos="1320"/>
              <w:tab w:val="right" w:leader="dot" w:pos="8290"/>
            </w:tabs>
            <w:rPr>
              <w:noProof/>
              <w:sz w:val="22"/>
              <w:szCs w:val="22"/>
              <w:lang w:val="en-GB" w:eastAsia="en-GB"/>
            </w:rPr>
          </w:pPr>
          <w:hyperlink w:anchor="_Toc496014030" w:history="1">
            <w:r w:rsidR="00404DD5" w:rsidRPr="00E97D5E">
              <w:rPr>
                <w:rStyle w:val="Hyperlink"/>
                <w:noProof/>
                <w:lang w:val="en-GB"/>
              </w:rPr>
              <w:t>4.1.1</w:t>
            </w:r>
            <w:r w:rsidR="00404DD5">
              <w:rPr>
                <w:noProof/>
                <w:sz w:val="22"/>
                <w:szCs w:val="22"/>
                <w:lang w:val="en-GB" w:eastAsia="en-GB"/>
              </w:rPr>
              <w:tab/>
            </w:r>
            <w:r w:rsidR="00404DD5" w:rsidRPr="00E97D5E">
              <w:rPr>
                <w:rStyle w:val="Hyperlink"/>
                <w:noProof/>
                <w:lang w:val="en-GB"/>
              </w:rPr>
              <w:t>Filing of a complaint by an alleged victim of rights violations</w:t>
            </w:r>
            <w:r w:rsidR="00404DD5">
              <w:rPr>
                <w:noProof/>
                <w:webHidden/>
              </w:rPr>
              <w:tab/>
            </w:r>
            <w:r w:rsidR="00404DD5">
              <w:rPr>
                <w:noProof/>
                <w:webHidden/>
              </w:rPr>
              <w:fldChar w:fldCharType="begin"/>
            </w:r>
            <w:r w:rsidR="00404DD5">
              <w:rPr>
                <w:noProof/>
                <w:webHidden/>
              </w:rPr>
              <w:instrText xml:space="preserve"> PAGEREF _Toc496014030 \h </w:instrText>
            </w:r>
            <w:r w:rsidR="00404DD5">
              <w:rPr>
                <w:noProof/>
                <w:webHidden/>
              </w:rPr>
            </w:r>
            <w:r w:rsidR="00404DD5">
              <w:rPr>
                <w:noProof/>
                <w:webHidden/>
              </w:rPr>
              <w:fldChar w:fldCharType="separate"/>
            </w:r>
            <w:r w:rsidR="00404DD5">
              <w:rPr>
                <w:noProof/>
                <w:webHidden/>
              </w:rPr>
              <w:t>31</w:t>
            </w:r>
            <w:r w:rsidR="00404DD5">
              <w:rPr>
                <w:noProof/>
                <w:webHidden/>
              </w:rPr>
              <w:fldChar w:fldCharType="end"/>
            </w:r>
          </w:hyperlink>
        </w:p>
        <w:p w14:paraId="65251BF7" w14:textId="77777777" w:rsidR="00404DD5" w:rsidRDefault="002956E1">
          <w:pPr>
            <w:pStyle w:val="TOC3"/>
            <w:tabs>
              <w:tab w:val="left" w:pos="1320"/>
              <w:tab w:val="right" w:leader="dot" w:pos="8290"/>
            </w:tabs>
            <w:rPr>
              <w:noProof/>
              <w:sz w:val="22"/>
              <w:szCs w:val="22"/>
              <w:lang w:val="en-GB" w:eastAsia="en-GB"/>
            </w:rPr>
          </w:pPr>
          <w:hyperlink w:anchor="_Toc496014031" w:history="1">
            <w:r w:rsidR="00404DD5" w:rsidRPr="00E97D5E">
              <w:rPr>
                <w:rStyle w:val="Hyperlink"/>
                <w:noProof/>
                <w:lang w:val="en-GB"/>
              </w:rPr>
              <w:t>4.1.2</w:t>
            </w:r>
            <w:r w:rsidR="00404DD5">
              <w:rPr>
                <w:noProof/>
                <w:sz w:val="22"/>
                <w:szCs w:val="22"/>
                <w:lang w:val="en-GB" w:eastAsia="en-GB"/>
              </w:rPr>
              <w:tab/>
            </w:r>
            <w:r w:rsidR="00404DD5" w:rsidRPr="00E97D5E">
              <w:rPr>
                <w:rStyle w:val="Hyperlink"/>
                <w:noProof/>
                <w:lang w:val="en-GB"/>
              </w:rPr>
              <w:t>6-month requirement</w:t>
            </w:r>
            <w:r w:rsidR="00404DD5">
              <w:rPr>
                <w:noProof/>
                <w:webHidden/>
              </w:rPr>
              <w:tab/>
            </w:r>
            <w:r w:rsidR="00404DD5">
              <w:rPr>
                <w:noProof/>
                <w:webHidden/>
              </w:rPr>
              <w:fldChar w:fldCharType="begin"/>
            </w:r>
            <w:r w:rsidR="00404DD5">
              <w:rPr>
                <w:noProof/>
                <w:webHidden/>
              </w:rPr>
              <w:instrText xml:space="preserve"> PAGEREF _Toc496014031 \h </w:instrText>
            </w:r>
            <w:r w:rsidR="00404DD5">
              <w:rPr>
                <w:noProof/>
                <w:webHidden/>
              </w:rPr>
            </w:r>
            <w:r w:rsidR="00404DD5">
              <w:rPr>
                <w:noProof/>
                <w:webHidden/>
              </w:rPr>
              <w:fldChar w:fldCharType="separate"/>
            </w:r>
            <w:r w:rsidR="00404DD5">
              <w:rPr>
                <w:noProof/>
                <w:webHidden/>
              </w:rPr>
              <w:t>32</w:t>
            </w:r>
            <w:r w:rsidR="00404DD5">
              <w:rPr>
                <w:noProof/>
                <w:webHidden/>
              </w:rPr>
              <w:fldChar w:fldCharType="end"/>
            </w:r>
          </w:hyperlink>
        </w:p>
        <w:p w14:paraId="5BAED0AF" w14:textId="77777777" w:rsidR="00404DD5" w:rsidRDefault="002956E1">
          <w:pPr>
            <w:pStyle w:val="TOC3"/>
            <w:tabs>
              <w:tab w:val="left" w:pos="1320"/>
              <w:tab w:val="right" w:leader="dot" w:pos="8290"/>
            </w:tabs>
            <w:rPr>
              <w:noProof/>
              <w:sz w:val="22"/>
              <w:szCs w:val="22"/>
              <w:lang w:val="en-GB" w:eastAsia="en-GB"/>
            </w:rPr>
          </w:pPr>
          <w:hyperlink w:anchor="_Toc496014032" w:history="1">
            <w:r w:rsidR="00404DD5" w:rsidRPr="00E97D5E">
              <w:rPr>
                <w:rStyle w:val="Hyperlink"/>
                <w:noProof/>
                <w:lang w:val="en-GB"/>
              </w:rPr>
              <w:t>4.1.3</w:t>
            </w:r>
            <w:r w:rsidR="00404DD5">
              <w:rPr>
                <w:noProof/>
                <w:sz w:val="22"/>
                <w:szCs w:val="22"/>
                <w:lang w:val="en-GB" w:eastAsia="en-GB"/>
              </w:rPr>
              <w:tab/>
            </w:r>
            <w:r w:rsidR="00404DD5" w:rsidRPr="00E97D5E">
              <w:rPr>
                <w:rStyle w:val="Hyperlink"/>
                <w:noProof/>
                <w:lang w:val="en-GB"/>
              </w:rPr>
              <w:t>Requirement of substantiation</w:t>
            </w:r>
            <w:r w:rsidR="00404DD5">
              <w:rPr>
                <w:noProof/>
                <w:webHidden/>
              </w:rPr>
              <w:tab/>
            </w:r>
            <w:r w:rsidR="00404DD5">
              <w:rPr>
                <w:noProof/>
                <w:webHidden/>
              </w:rPr>
              <w:fldChar w:fldCharType="begin"/>
            </w:r>
            <w:r w:rsidR="00404DD5">
              <w:rPr>
                <w:noProof/>
                <w:webHidden/>
              </w:rPr>
              <w:instrText xml:space="preserve"> PAGEREF _Toc496014032 \h </w:instrText>
            </w:r>
            <w:r w:rsidR="00404DD5">
              <w:rPr>
                <w:noProof/>
                <w:webHidden/>
              </w:rPr>
            </w:r>
            <w:r w:rsidR="00404DD5">
              <w:rPr>
                <w:noProof/>
                <w:webHidden/>
              </w:rPr>
              <w:fldChar w:fldCharType="separate"/>
            </w:r>
            <w:r w:rsidR="00404DD5">
              <w:rPr>
                <w:noProof/>
                <w:webHidden/>
              </w:rPr>
              <w:t>32</w:t>
            </w:r>
            <w:r w:rsidR="00404DD5">
              <w:rPr>
                <w:noProof/>
                <w:webHidden/>
              </w:rPr>
              <w:fldChar w:fldCharType="end"/>
            </w:r>
          </w:hyperlink>
        </w:p>
        <w:p w14:paraId="5C88B060" w14:textId="77777777" w:rsidR="00404DD5" w:rsidRDefault="002956E1">
          <w:pPr>
            <w:pStyle w:val="TOC3"/>
            <w:tabs>
              <w:tab w:val="left" w:pos="1320"/>
              <w:tab w:val="right" w:leader="dot" w:pos="8290"/>
            </w:tabs>
            <w:rPr>
              <w:noProof/>
              <w:sz w:val="22"/>
              <w:szCs w:val="22"/>
              <w:lang w:val="en-GB" w:eastAsia="en-GB"/>
            </w:rPr>
          </w:pPr>
          <w:hyperlink w:anchor="_Toc496014033" w:history="1">
            <w:r w:rsidR="00404DD5" w:rsidRPr="00E97D5E">
              <w:rPr>
                <w:rStyle w:val="Hyperlink"/>
                <w:noProof/>
                <w:lang w:val="en-GB"/>
              </w:rPr>
              <w:t>4.1.4</w:t>
            </w:r>
            <w:r w:rsidR="00404DD5">
              <w:rPr>
                <w:noProof/>
                <w:sz w:val="22"/>
                <w:szCs w:val="22"/>
                <w:lang w:val="en-GB" w:eastAsia="en-GB"/>
              </w:rPr>
              <w:tab/>
            </w:r>
            <w:r w:rsidR="00404DD5" w:rsidRPr="00E97D5E">
              <w:rPr>
                <w:rStyle w:val="Hyperlink"/>
                <w:noProof/>
                <w:lang w:val="en-GB"/>
              </w:rPr>
              <w:t>Abuse of right</w:t>
            </w:r>
            <w:r w:rsidR="00404DD5">
              <w:rPr>
                <w:noProof/>
                <w:webHidden/>
              </w:rPr>
              <w:tab/>
            </w:r>
            <w:r w:rsidR="00404DD5">
              <w:rPr>
                <w:noProof/>
                <w:webHidden/>
              </w:rPr>
              <w:fldChar w:fldCharType="begin"/>
            </w:r>
            <w:r w:rsidR="00404DD5">
              <w:rPr>
                <w:noProof/>
                <w:webHidden/>
              </w:rPr>
              <w:instrText xml:space="preserve"> PAGEREF _Toc496014033 \h </w:instrText>
            </w:r>
            <w:r w:rsidR="00404DD5">
              <w:rPr>
                <w:noProof/>
                <w:webHidden/>
              </w:rPr>
            </w:r>
            <w:r w:rsidR="00404DD5">
              <w:rPr>
                <w:noProof/>
                <w:webHidden/>
              </w:rPr>
              <w:fldChar w:fldCharType="separate"/>
            </w:r>
            <w:r w:rsidR="00404DD5">
              <w:rPr>
                <w:noProof/>
                <w:webHidden/>
              </w:rPr>
              <w:t>32</w:t>
            </w:r>
            <w:r w:rsidR="00404DD5">
              <w:rPr>
                <w:noProof/>
                <w:webHidden/>
              </w:rPr>
              <w:fldChar w:fldCharType="end"/>
            </w:r>
          </w:hyperlink>
        </w:p>
        <w:p w14:paraId="02E334CF" w14:textId="77777777" w:rsidR="00404DD5" w:rsidRDefault="002956E1">
          <w:pPr>
            <w:pStyle w:val="TOC3"/>
            <w:tabs>
              <w:tab w:val="left" w:pos="1320"/>
              <w:tab w:val="right" w:leader="dot" w:pos="8290"/>
            </w:tabs>
            <w:rPr>
              <w:noProof/>
              <w:sz w:val="22"/>
              <w:szCs w:val="22"/>
              <w:lang w:val="en-GB" w:eastAsia="en-GB"/>
            </w:rPr>
          </w:pPr>
          <w:hyperlink w:anchor="_Toc496014034" w:history="1">
            <w:r w:rsidR="00404DD5" w:rsidRPr="00E97D5E">
              <w:rPr>
                <w:rStyle w:val="Hyperlink"/>
                <w:noProof/>
                <w:lang w:val="en-GB"/>
              </w:rPr>
              <w:t>4.1.5</w:t>
            </w:r>
            <w:r w:rsidR="00404DD5">
              <w:rPr>
                <w:noProof/>
                <w:sz w:val="22"/>
                <w:szCs w:val="22"/>
                <w:lang w:val="en-GB" w:eastAsia="en-GB"/>
              </w:rPr>
              <w:tab/>
            </w:r>
            <w:r w:rsidR="00404DD5" w:rsidRPr="00E97D5E">
              <w:rPr>
                <w:rStyle w:val="Hyperlink"/>
                <w:noProof/>
                <w:lang w:val="en-GB"/>
              </w:rPr>
              <w:t>Premature complaints</w:t>
            </w:r>
            <w:r w:rsidR="00404DD5">
              <w:rPr>
                <w:noProof/>
                <w:webHidden/>
              </w:rPr>
              <w:tab/>
            </w:r>
            <w:r w:rsidR="00404DD5">
              <w:rPr>
                <w:noProof/>
                <w:webHidden/>
              </w:rPr>
              <w:fldChar w:fldCharType="begin"/>
            </w:r>
            <w:r w:rsidR="00404DD5">
              <w:rPr>
                <w:noProof/>
                <w:webHidden/>
              </w:rPr>
              <w:instrText xml:space="preserve"> PAGEREF _Toc496014034 \h </w:instrText>
            </w:r>
            <w:r w:rsidR="00404DD5">
              <w:rPr>
                <w:noProof/>
                <w:webHidden/>
              </w:rPr>
            </w:r>
            <w:r w:rsidR="00404DD5">
              <w:rPr>
                <w:noProof/>
                <w:webHidden/>
              </w:rPr>
              <w:fldChar w:fldCharType="separate"/>
            </w:r>
            <w:r w:rsidR="00404DD5">
              <w:rPr>
                <w:noProof/>
                <w:webHidden/>
              </w:rPr>
              <w:t>32</w:t>
            </w:r>
            <w:r w:rsidR="00404DD5">
              <w:rPr>
                <w:noProof/>
                <w:webHidden/>
              </w:rPr>
              <w:fldChar w:fldCharType="end"/>
            </w:r>
          </w:hyperlink>
        </w:p>
        <w:p w14:paraId="616DAC2F" w14:textId="77777777" w:rsidR="00404DD5" w:rsidRDefault="002956E1">
          <w:pPr>
            <w:pStyle w:val="TOC2"/>
            <w:tabs>
              <w:tab w:val="left" w:pos="880"/>
              <w:tab w:val="right" w:leader="dot" w:pos="8290"/>
            </w:tabs>
            <w:rPr>
              <w:noProof/>
              <w:sz w:val="22"/>
              <w:szCs w:val="22"/>
              <w:lang w:val="en-GB" w:eastAsia="en-GB"/>
            </w:rPr>
          </w:pPr>
          <w:hyperlink w:anchor="_Toc496014035" w:history="1">
            <w:r w:rsidR="00404DD5" w:rsidRPr="00E97D5E">
              <w:rPr>
                <w:rStyle w:val="Hyperlink"/>
                <w:noProof/>
                <w:lang w:val="en-GB"/>
              </w:rPr>
              <w:t>4.2</w:t>
            </w:r>
            <w:r w:rsidR="00404DD5">
              <w:rPr>
                <w:noProof/>
                <w:sz w:val="22"/>
                <w:szCs w:val="22"/>
                <w:lang w:val="en-GB" w:eastAsia="en-GB"/>
              </w:rPr>
              <w:tab/>
            </w:r>
            <w:r w:rsidR="00404DD5" w:rsidRPr="00E97D5E">
              <w:rPr>
                <w:rStyle w:val="Hyperlink"/>
                <w:noProof/>
                <w:lang w:val="en-GB"/>
              </w:rPr>
              <w:t>Procedure before the Panel – Select aspects</w:t>
            </w:r>
            <w:r w:rsidR="00404DD5">
              <w:rPr>
                <w:noProof/>
                <w:webHidden/>
              </w:rPr>
              <w:tab/>
            </w:r>
            <w:r w:rsidR="00404DD5">
              <w:rPr>
                <w:noProof/>
                <w:webHidden/>
              </w:rPr>
              <w:fldChar w:fldCharType="begin"/>
            </w:r>
            <w:r w:rsidR="00404DD5">
              <w:rPr>
                <w:noProof/>
                <w:webHidden/>
              </w:rPr>
              <w:instrText xml:space="preserve"> PAGEREF _Toc496014035 \h </w:instrText>
            </w:r>
            <w:r w:rsidR="00404DD5">
              <w:rPr>
                <w:noProof/>
                <w:webHidden/>
              </w:rPr>
            </w:r>
            <w:r w:rsidR="00404DD5">
              <w:rPr>
                <w:noProof/>
                <w:webHidden/>
              </w:rPr>
              <w:fldChar w:fldCharType="separate"/>
            </w:r>
            <w:r w:rsidR="00404DD5">
              <w:rPr>
                <w:noProof/>
                <w:webHidden/>
              </w:rPr>
              <w:t>33</w:t>
            </w:r>
            <w:r w:rsidR="00404DD5">
              <w:rPr>
                <w:noProof/>
                <w:webHidden/>
              </w:rPr>
              <w:fldChar w:fldCharType="end"/>
            </w:r>
          </w:hyperlink>
        </w:p>
        <w:p w14:paraId="47736FC0" w14:textId="77777777" w:rsidR="00404DD5" w:rsidRDefault="002956E1">
          <w:pPr>
            <w:pStyle w:val="TOC3"/>
            <w:tabs>
              <w:tab w:val="left" w:pos="1320"/>
              <w:tab w:val="right" w:leader="dot" w:pos="8290"/>
            </w:tabs>
            <w:rPr>
              <w:noProof/>
              <w:sz w:val="22"/>
              <w:szCs w:val="22"/>
              <w:lang w:val="en-GB" w:eastAsia="en-GB"/>
            </w:rPr>
          </w:pPr>
          <w:hyperlink w:anchor="_Toc496014036" w:history="1">
            <w:r w:rsidR="00404DD5" w:rsidRPr="00E97D5E">
              <w:rPr>
                <w:rStyle w:val="Hyperlink"/>
                <w:noProof/>
                <w:lang w:val="en-GB"/>
              </w:rPr>
              <w:t>4.2.1</w:t>
            </w:r>
            <w:r w:rsidR="00404DD5">
              <w:rPr>
                <w:noProof/>
                <w:sz w:val="22"/>
                <w:szCs w:val="22"/>
                <w:lang w:val="en-GB" w:eastAsia="en-GB"/>
              </w:rPr>
              <w:tab/>
            </w:r>
            <w:r w:rsidR="00404DD5" w:rsidRPr="00E97D5E">
              <w:rPr>
                <w:rStyle w:val="Hyperlink"/>
                <w:noProof/>
                <w:lang w:val="en-GB"/>
              </w:rPr>
              <w:t>Written complaints and orality</w:t>
            </w:r>
            <w:r w:rsidR="00404DD5">
              <w:rPr>
                <w:noProof/>
                <w:webHidden/>
              </w:rPr>
              <w:tab/>
            </w:r>
            <w:r w:rsidR="00404DD5">
              <w:rPr>
                <w:noProof/>
                <w:webHidden/>
              </w:rPr>
              <w:fldChar w:fldCharType="begin"/>
            </w:r>
            <w:r w:rsidR="00404DD5">
              <w:rPr>
                <w:noProof/>
                <w:webHidden/>
              </w:rPr>
              <w:instrText xml:space="preserve"> PAGEREF _Toc496014036 \h </w:instrText>
            </w:r>
            <w:r w:rsidR="00404DD5">
              <w:rPr>
                <w:noProof/>
                <w:webHidden/>
              </w:rPr>
            </w:r>
            <w:r w:rsidR="00404DD5">
              <w:rPr>
                <w:noProof/>
                <w:webHidden/>
              </w:rPr>
              <w:fldChar w:fldCharType="separate"/>
            </w:r>
            <w:r w:rsidR="00404DD5">
              <w:rPr>
                <w:noProof/>
                <w:webHidden/>
              </w:rPr>
              <w:t>33</w:t>
            </w:r>
            <w:r w:rsidR="00404DD5">
              <w:rPr>
                <w:noProof/>
                <w:webHidden/>
              </w:rPr>
              <w:fldChar w:fldCharType="end"/>
            </w:r>
          </w:hyperlink>
        </w:p>
        <w:p w14:paraId="32930014" w14:textId="77777777" w:rsidR="00404DD5" w:rsidRDefault="002956E1">
          <w:pPr>
            <w:pStyle w:val="TOC3"/>
            <w:tabs>
              <w:tab w:val="left" w:pos="1320"/>
              <w:tab w:val="right" w:leader="dot" w:pos="8290"/>
            </w:tabs>
            <w:rPr>
              <w:noProof/>
              <w:sz w:val="22"/>
              <w:szCs w:val="22"/>
              <w:lang w:val="en-GB" w:eastAsia="en-GB"/>
            </w:rPr>
          </w:pPr>
          <w:hyperlink w:anchor="_Toc496014037" w:history="1">
            <w:r w:rsidR="00404DD5" w:rsidRPr="00E97D5E">
              <w:rPr>
                <w:rStyle w:val="Hyperlink"/>
                <w:noProof/>
                <w:lang w:val="en-GB"/>
              </w:rPr>
              <w:t>4.2.2</w:t>
            </w:r>
            <w:r w:rsidR="00404DD5">
              <w:rPr>
                <w:noProof/>
                <w:sz w:val="22"/>
                <w:szCs w:val="22"/>
                <w:lang w:val="en-GB" w:eastAsia="en-GB"/>
              </w:rPr>
              <w:tab/>
            </w:r>
            <w:r w:rsidR="00404DD5" w:rsidRPr="00E97D5E">
              <w:rPr>
                <w:rStyle w:val="Hyperlink"/>
                <w:noProof/>
                <w:lang w:val="en-GB"/>
              </w:rPr>
              <w:t>Adversarial nature of proceedings</w:t>
            </w:r>
            <w:r w:rsidR="00404DD5">
              <w:rPr>
                <w:noProof/>
                <w:webHidden/>
              </w:rPr>
              <w:tab/>
            </w:r>
            <w:r w:rsidR="00404DD5">
              <w:rPr>
                <w:noProof/>
                <w:webHidden/>
              </w:rPr>
              <w:fldChar w:fldCharType="begin"/>
            </w:r>
            <w:r w:rsidR="00404DD5">
              <w:rPr>
                <w:noProof/>
                <w:webHidden/>
              </w:rPr>
              <w:instrText xml:space="preserve"> PAGEREF _Toc496014037 \h </w:instrText>
            </w:r>
            <w:r w:rsidR="00404DD5">
              <w:rPr>
                <w:noProof/>
                <w:webHidden/>
              </w:rPr>
            </w:r>
            <w:r w:rsidR="00404DD5">
              <w:rPr>
                <w:noProof/>
                <w:webHidden/>
              </w:rPr>
              <w:fldChar w:fldCharType="separate"/>
            </w:r>
            <w:r w:rsidR="00404DD5">
              <w:rPr>
                <w:noProof/>
                <w:webHidden/>
              </w:rPr>
              <w:t>33</w:t>
            </w:r>
            <w:r w:rsidR="00404DD5">
              <w:rPr>
                <w:noProof/>
                <w:webHidden/>
              </w:rPr>
              <w:fldChar w:fldCharType="end"/>
            </w:r>
          </w:hyperlink>
        </w:p>
        <w:p w14:paraId="4C76C540" w14:textId="77777777" w:rsidR="00404DD5" w:rsidRDefault="002956E1">
          <w:pPr>
            <w:pStyle w:val="TOC3"/>
            <w:tabs>
              <w:tab w:val="left" w:pos="1320"/>
              <w:tab w:val="right" w:leader="dot" w:pos="8290"/>
            </w:tabs>
            <w:rPr>
              <w:noProof/>
              <w:sz w:val="22"/>
              <w:szCs w:val="22"/>
              <w:lang w:val="en-GB" w:eastAsia="en-GB"/>
            </w:rPr>
          </w:pPr>
          <w:hyperlink w:anchor="_Toc496014038" w:history="1">
            <w:r w:rsidR="00404DD5" w:rsidRPr="00E97D5E">
              <w:rPr>
                <w:rStyle w:val="Hyperlink"/>
                <w:noProof/>
                <w:lang w:val="en-GB"/>
              </w:rPr>
              <w:t>4.2.3</w:t>
            </w:r>
            <w:r w:rsidR="00404DD5">
              <w:rPr>
                <w:noProof/>
                <w:sz w:val="22"/>
                <w:szCs w:val="22"/>
                <w:lang w:val="en-GB" w:eastAsia="en-GB"/>
              </w:rPr>
              <w:tab/>
            </w:r>
            <w:r w:rsidR="00404DD5" w:rsidRPr="00E97D5E">
              <w:rPr>
                <w:rStyle w:val="Hyperlink"/>
                <w:noProof/>
                <w:lang w:val="en-GB"/>
              </w:rPr>
              <w:t>Panel sessions and voting</w:t>
            </w:r>
            <w:r w:rsidR="00404DD5">
              <w:rPr>
                <w:noProof/>
                <w:webHidden/>
              </w:rPr>
              <w:tab/>
            </w:r>
            <w:r w:rsidR="00404DD5">
              <w:rPr>
                <w:noProof/>
                <w:webHidden/>
              </w:rPr>
              <w:fldChar w:fldCharType="begin"/>
            </w:r>
            <w:r w:rsidR="00404DD5">
              <w:rPr>
                <w:noProof/>
                <w:webHidden/>
              </w:rPr>
              <w:instrText xml:space="preserve"> PAGEREF _Toc496014038 \h </w:instrText>
            </w:r>
            <w:r w:rsidR="00404DD5">
              <w:rPr>
                <w:noProof/>
                <w:webHidden/>
              </w:rPr>
            </w:r>
            <w:r w:rsidR="00404DD5">
              <w:rPr>
                <w:noProof/>
                <w:webHidden/>
              </w:rPr>
              <w:fldChar w:fldCharType="separate"/>
            </w:r>
            <w:r w:rsidR="00404DD5">
              <w:rPr>
                <w:noProof/>
                <w:webHidden/>
              </w:rPr>
              <w:t>34</w:t>
            </w:r>
            <w:r w:rsidR="00404DD5">
              <w:rPr>
                <w:noProof/>
                <w:webHidden/>
              </w:rPr>
              <w:fldChar w:fldCharType="end"/>
            </w:r>
          </w:hyperlink>
        </w:p>
        <w:p w14:paraId="0379F4C1" w14:textId="77777777" w:rsidR="00404DD5" w:rsidRDefault="002956E1">
          <w:pPr>
            <w:pStyle w:val="TOC3"/>
            <w:tabs>
              <w:tab w:val="left" w:pos="1320"/>
              <w:tab w:val="right" w:leader="dot" w:pos="8290"/>
            </w:tabs>
            <w:rPr>
              <w:noProof/>
              <w:sz w:val="22"/>
              <w:szCs w:val="22"/>
              <w:lang w:val="en-GB" w:eastAsia="en-GB"/>
            </w:rPr>
          </w:pPr>
          <w:hyperlink w:anchor="_Toc496014039" w:history="1">
            <w:r w:rsidR="00404DD5" w:rsidRPr="00E97D5E">
              <w:rPr>
                <w:rStyle w:val="Hyperlink"/>
                <w:noProof/>
                <w:lang w:val="en-GB"/>
              </w:rPr>
              <w:t>4.2.4</w:t>
            </w:r>
            <w:r w:rsidR="00404DD5">
              <w:rPr>
                <w:noProof/>
                <w:sz w:val="22"/>
                <w:szCs w:val="22"/>
                <w:lang w:val="en-GB" w:eastAsia="en-GB"/>
              </w:rPr>
              <w:tab/>
            </w:r>
            <w:r w:rsidR="00404DD5" w:rsidRPr="00E97D5E">
              <w:rPr>
                <w:rStyle w:val="Hyperlink"/>
                <w:noProof/>
                <w:lang w:val="en-GB"/>
              </w:rPr>
              <w:t>Decision on admissibility</w:t>
            </w:r>
            <w:r w:rsidR="00404DD5">
              <w:rPr>
                <w:noProof/>
                <w:webHidden/>
              </w:rPr>
              <w:tab/>
            </w:r>
            <w:r w:rsidR="00404DD5">
              <w:rPr>
                <w:noProof/>
                <w:webHidden/>
              </w:rPr>
              <w:fldChar w:fldCharType="begin"/>
            </w:r>
            <w:r w:rsidR="00404DD5">
              <w:rPr>
                <w:noProof/>
                <w:webHidden/>
              </w:rPr>
              <w:instrText xml:space="preserve"> PAGEREF _Toc496014039 \h </w:instrText>
            </w:r>
            <w:r w:rsidR="00404DD5">
              <w:rPr>
                <w:noProof/>
                <w:webHidden/>
              </w:rPr>
            </w:r>
            <w:r w:rsidR="00404DD5">
              <w:rPr>
                <w:noProof/>
                <w:webHidden/>
              </w:rPr>
              <w:fldChar w:fldCharType="separate"/>
            </w:r>
            <w:r w:rsidR="00404DD5">
              <w:rPr>
                <w:noProof/>
                <w:webHidden/>
              </w:rPr>
              <w:t>34</w:t>
            </w:r>
            <w:r w:rsidR="00404DD5">
              <w:rPr>
                <w:noProof/>
                <w:webHidden/>
              </w:rPr>
              <w:fldChar w:fldCharType="end"/>
            </w:r>
          </w:hyperlink>
        </w:p>
        <w:p w14:paraId="21B76498" w14:textId="11922038" w:rsidR="00CF7E39" w:rsidRPr="00CA5E7F" w:rsidRDefault="00CF7E39">
          <w:pPr>
            <w:rPr>
              <w:rFonts w:ascii="Arial" w:hAnsi="Arial" w:cs="Arial"/>
              <w:sz w:val="22"/>
              <w:szCs w:val="22"/>
              <w:lang w:val="en-GB"/>
            </w:rPr>
          </w:pPr>
          <w:r w:rsidRPr="00CA5E7F">
            <w:rPr>
              <w:rFonts w:ascii="Arial" w:hAnsi="Arial" w:cs="Arial"/>
              <w:b/>
              <w:bCs/>
              <w:noProof/>
              <w:sz w:val="22"/>
              <w:szCs w:val="22"/>
              <w:lang w:val="en-GB"/>
            </w:rPr>
            <w:fldChar w:fldCharType="end"/>
          </w:r>
        </w:p>
      </w:sdtContent>
    </w:sdt>
    <w:p w14:paraId="6EAA68A8" w14:textId="77777777" w:rsidR="007B24AF" w:rsidRPr="00CA5E7F" w:rsidRDefault="007B24AF" w:rsidP="00E47E17">
      <w:pPr>
        <w:spacing w:line="360" w:lineRule="auto"/>
        <w:jc w:val="both"/>
        <w:rPr>
          <w:rFonts w:ascii="Arial" w:hAnsi="Arial" w:cs="Arial"/>
          <w:b/>
          <w:sz w:val="22"/>
          <w:szCs w:val="22"/>
          <w:lang w:val="en-GB"/>
        </w:rPr>
      </w:pPr>
    </w:p>
    <w:p w14:paraId="1A7DE3C7" w14:textId="77777777" w:rsidR="007B24AF" w:rsidRPr="00CA5E7F" w:rsidRDefault="007B24AF" w:rsidP="00E47E17">
      <w:pPr>
        <w:spacing w:line="360" w:lineRule="auto"/>
        <w:jc w:val="both"/>
        <w:rPr>
          <w:rFonts w:ascii="Arial" w:hAnsi="Arial" w:cs="Arial"/>
          <w:b/>
          <w:sz w:val="22"/>
          <w:szCs w:val="22"/>
          <w:lang w:val="en-GB"/>
        </w:rPr>
      </w:pPr>
    </w:p>
    <w:p w14:paraId="5F2D9882" w14:textId="77777777" w:rsidR="00E47E17" w:rsidRPr="00CA5E7F" w:rsidRDefault="00E47E17" w:rsidP="00E47E17">
      <w:pPr>
        <w:spacing w:line="360" w:lineRule="auto"/>
        <w:jc w:val="both"/>
        <w:rPr>
          <w:rFonts w:ascii="Arial" w:hAnsi="Arial" w:cs="Arial"/>
          <w:b/>
          <w:sz w:val="22"/>
          <w:szCs w:val="22"/>
          <w:lang w:val="en-GB"/>
        </w:rPr>
      </w:pPr>
    </w:p>
    <w:p w14:paraId="73409980" w14:textId="77777777" w:rsidR="00E47E17" w:rsidRPr="00CA5E7F" w:rsidRDefault="00E47E17" w:rsidP="00E47E17">
      <w:pPr>
        <w:spacing w:line="360" w:lineRule="auto"/>
        <w:jc w:val="both"/>
        <w:rPr>
          <w:rFonts w:ascii="Arial" w:hAnsi="Arial" w:cs="Arial"/>
          <w:b/>
          <w:sz w:val="22"/>
          <w:szCs w:val="22"/>
          <w:lang w:val="en-GB"/>
        </w:rPr>
      </w:pPr>
    </w:p>
    <w:p w14:paraId="76AB0EA9" w14:textId="53D5E8EC" w:rsidR="00003923" w:rsidRPr="00CA5E7F" w:rsidRDefault="00003923">
      <w:pPr>
        <w:rPr>
          <w:rFonts w:ascii="Arial" w:hAnsi="Arial" w:cs="Arial"/>
          <w:sz w:val="22"/>
          <w:szCs w:val="22"/>
          <w:lang w:val="en-GB"/>
        </w:rPr>
      </w:pPr>
    </w:p>
    <w:p w14:paraId="42449E96" w14:textId="77777777" w:rsidR="00105F3C" w:rsidRPr="002E7169" w:rsidRDefault="00105F3C" w:rsidP="002E7169">
      <w:pPr>
        <w:spacing w:line="360" w:lineRule="auto"/>
        <w:rPr>
          <w:rFonts w:ascii="Arial" w:hAnsi="Arial" w:cs="Arial"/>
          <w:sz w:val="22"/>
          <w:szCs w:val="22"/>
          <w:lang w:val="en-GB"/>
        </w:rPr>
      </w:pPr>
    </w:p>
    <w:p w14:paraId="4FE1799A" w14:textId="10AE4492" w:rsidR="00C351BD" w:rsidRPr="002E7169" w:rsidRDefault="00A05577" w:rsidP="002E7169">
      <w:pPr>
        <w:pStyle w:val="Heading1"/>
        <w:numPr>
          <w:ilvl w:val="0"/>
          <w:numId w:val="5"/>
        </w:numPr>
        <w:spacing w:line="360" w:lineRule="auto"/>
        <w:jc w:val="both"/>
        <w:rPr>
          <w:rFonts w:cs="Arial"/>
          <w:sz w:val="22"/>
          <w:szCs w:val="22"/>
          <w:lang w:val="en-GB"/>
        </w:rPr>
      </w:pPr>
      <w:bookmarkStart w:id="0" w:name="_Toc496014011"/>
      <w:r w:rsidRPr="002E7169">
        <w:rPr>
          <w:rFonts w:cs="Arial"/>
          <w:sz w:val="22"/>
          <w:szCs w:val="22"/>
          <w:lang w:val="en-GB"/>
        </w:rPr>
        <w:t xml:space="preserve">General considerations </w:t>
      </w:r>
      <w:r w:rsidR="00982D9C" w:rsidRPr="002E7169">
        <w:rPr>
          <w:rFonts w:cs="Arial"/>
          <w:sz w:val="22"/>
          <w:szCs w:val="22"/>
          <w:lang w:val="en-GB"/>
        </w:rPr>
        <w:t>–</w:t>
      </w:r>
      <w:r w:rsidR="00C351BD" w:rsidRPr="002E7169">
        <w:rPr>
          <w:rFonts w:cs="Arial"/>
          <w:sz w:val="22"/>
          <w:szCs w:val="22"/>
          <w:lang w:val="en-GB"/>
        </w:rPr>
        <w:t xml:space="preserve"> </w:t>
      </w:r>
      <w:r w:rsidR="00364A37" w:rsidRPr="002E7169">
        <w:rPr>
          <w:rFonts w:cs="Arial"/>
          <w:sz w:val="22"/>
          <w:szCs w:val="22"/>
          <w:lang w:val="en-GB"/>
        </w:rPr>
        <w:t>Accountability concept as</w:t>
      </w:r>
      <w:r w:rsidR="00803201" w:rsidRPr="002E7169">
        <w:rPr>
          <w:rFonts w:cs="Arial"/>
          <w:sz w:val="22"/>
          <w:szCs w:val="22"/>
          <w:lang w:val="en-GB"/>
        </w:rPr>
        <w:t xml:space="preserve"> general</w:t>
      </w:r>
      <w:r w:rsidR="00364A37" w:rsidRPr="002E7169">
        <w:rPr>
          <w:rFonts w:cs="Arial"/>
          <w:sz w:val="22"/>
          <w:szCs w:val="22"/>
          <w:lang w:val="en-GB"/>
        </w:rPr>
        <w:t xml:space="preserve"> framework</w:t>
      </w:r>
      <w:r w:rsidR="00F64C72" w:rsidRPr="002E7169">
        <w:rPr>
          <w:rFonts w:cs="Arial"/>
          <w:sz w:val="22"/>
          <w:szCs w:val="22"/>
          <w:lang w:val="en-GB"/>
        </w:rPr>
        <w:t xml:space="preserve"> to the work</w:t>
      </w:r>
      <w:r w:rsidR="00364A37" w:rsidRPr="002E7169">
        <w:rPr>
          <w:rFonts w:cs="Arial"/>
          <w:sz w:val="22"/>
          <w:szCs w:val="22"/>
          <w:lang w:val="en-GB"/>
        </w:rPr>
        <w:t xml:space="preserve"> </w:t>
      </w:r>
      <w:r w:rsidR="00F64C72" w:rsidRPr="002E7169">
        <w:rPr>
          <w:rFonts w:cs="Arial"/>
          <w:sz w:val="22"/>
          <w:szCs w:val="22"/>
          <w:lang w:val="en-GB"/>
        </w:rPr>
        <w:t>of</w:t>
      </w:r>
      <w:r w:rsidR="00C351BD" w:rsidRPr="002E7169">
        <w:rPr>
          <w:rFonts w:cs="Arial"/>
          <w:sz w:val="22"/>
          <w:szCs w:val="22"/>
          <w:lang w:val="en-GB"/>
        </w:rPr>
        <w:t xml:space="preserve"> the Panel</w:t>
      </w:r>
      <w:bookmarkEnd w:id="0"/>
      <w:r w:rsidR="00C351BD" w:rsidRPr="002E7169">
        <w:rPr>
          <w:rFonts w:cs="Arial"/>
          <w:sz w:val="22"/>
          <w:szCs w:val="22"/>
          <w:lang w:val="en-GB"/>
        </w:rPr>
        <w:t xml:space="preserve"> </w:t>
      </w:r>
    </w:p>
    <w:p w14:paraId="5ABEB913" w14:textId="3543763D" w:rsidR="00645002" w:rsidRPr="002E7169" w:rsidRDefault="00CA5E7F" w:rsidP="002E7169">
      <w:pPr>
        <w:spacing w:line="360" w:lineRule="auto"/>
        <w:jc w:val="both"/>
        <w:rPr>
          <w:rFonts w:ascii="Arial" w:hAnsi="Arial" w:cs="Arial"/>
          <w:sz w:val="22"/>
          <w:szCs w:val="22"/>
          <w:lang w:val="en-GB"/>
        </w:rPr>
      </w:pPr>
      <w:r w:rsidRPr="002E7169">
        <w:rPr>
          <w:rFonts w:ascii="Arial" w:hAnsi="Arial" w:cs="Arial"/>
          <w:sz w:val="22"/>
          <w:szCs w:val="22"/>
          <w:lang w:val="en-GB"/>
        </w:rPr>
        <w:t xml:space="preserve">The Panel was created as a way to ensure that EULEX Kosovo would operate within the framework of its executive mandate in a manner consistent with general standards of human rights recognised under international law. </w:t>
      </w:r>
      <w:r w:rsidR="00645002" w:rsidRPr="002E7169">
        <w:rPr>
          <w:rFonts w:ascii="Arial" w:hAnsi="Arial" w:cs="Arial"/>
          <w:sz w:val="22"/>
          <w:szCs w:val="22"/>
          <w:lang w:val="en-GB"/>
        </w:rPr>
        <w:t>this was part and parcel of the so-called “Accountability concept” pursuant to which the Panel was created.</w:t>
      </w:r>
      <w:r w:rsidR="00A07ED0" w:rsidRPr="002E7169">
        <w:rPr>
          <w:rStyle w:val="FootnoteReference"/>
          <w:rFonts w:ascii="Arial" w:hAnsi="Arial" w:cs="Arial"/>
          <w:sz w:val="22"/>
          <w:szCs w:val="22"/>
          <w:lang w:val="en-GB"/>
        </w:rPr>
        <w:footnoteReference w:id="1"/>
      </w:r>
      <w:r w:rsidR="00645002" w:rsidRPr="002E7169">
        <w:rPr>
          <w:rFonts w:ascii="Arial" w:hAnsi="Arial" w:cs="Arial"/>
          <w:sz w:val="22"/>
          <w:szCs w:val="22"/>
          <w:lang w:val="en-GB"/>
        </w:rPr>
        <w:t xml:space="preserve"> </w:t>
      </w:r>
    </w:p>
    <w:p w14:paraId="0E2745E9" w14:textId="77777777" w:rsidR="00A07ED0" w:rsidRPr="002E7169" w:rsidRDefault="00A07ED0" w:rsidP="002E7169">
      <w:pPr>
        <w:spacing w:line="360" w:lineRule="auto"/>
        <w:jc w:val="both"/>
        <w:rPr>
          <w:rFonts w:ascii="Arial" w:hAnsi="Arial" w:cs="Arial"/>
          <w:sz w:val="22"/>
          <w:szCs w:val="22"/>
          <w:lang w:val="en-GB"/>
        </w:rPr>
      </w:pPr>
    </w:p>
    <w:p w14:paraId="671C53C6" w14:textId="50557F46" w:rsidR="00B540A6" w:rsidRPr="002E7169" w:rsidRDefault="00CA5E7F" w:rsidP="00BE5F6F">
      <w:pPr>
        <w:spacing w:line="360" w:lineRule="auto"/>
        <w:jc w:val="both"/>
        <w:rPr>
          <w:rFonts w:ascii="Arial" w:hAnsi="Arial" w:cs="Arial"/>
          <w:sz w:val="22"/>
          <w:szCs w:val="22"/>
          <w:lang w:val="en-GB"/>
        </w:rPr>
      </w:pPr>
      <w:r w:rsidRPr="002E7169">
        <w:rPr>
          <w:rFonts w:ascii="Arial" w:hAnsi="Arial" w:cs="Arial"/>
          <w:sz w:val="22"/>
          <w:szCs w:val="22"/>
          <w:lang w:val="en-GB"/>
        </w:rPr>
        <w:t>These standards</w:t>
      </w:r>
      <w:r w:rsidR="00A07ED0" w:rsidRPr="002E7169">
        <w:rPr>
          <w:rFonts w:ascii="Arial" w:hAnsi="Arial" w:cs="Arial"/>
          <w:sz w:val="22"/>
          <w:szCs w:val="22"/>
          <w:lang w:val="en-GB"/>
        </w:rPr>
        <w:t xml:space="preserve"> of human rights, which the Mission is expected to abide by,</w:t>
      </w:r>
      <w:r w:rsidRPr="002E7169">
        <w:rPr>
          <w:rFonts w:ascii="Arial" w:hAnsi="Arial" w:cs="Arial"/>
          <w:sz w:val="22"/>
          <w:szCs w:val="22"/>
          <w:lang w:val="en-GB"/>
        </w:rPr>
        <w:t xml:space="preserve"> reflect minimum standards for the protection of human rights to be guaranteed by public authorities in all democratic legal systems.</w:t>
      </w:r>
      <w:r w:rsidRPr="002E7169">
        <w:rPr>
          <w:rStyle w:val="FootnoteReference"/>
          <w:rFonts w:ascii="Arial" w:hAnsi="Arial" w:cs="Arial"/>
          <w:sz w:val="22"/>
          <w:szCs w:val="22"/>
          <w:lang w:val="en-GB"/>
        </w:rPr>
        <w:footnoteReference w:id="2"/>
      </w:r>
    </w:p>
    <w:p w14:paraId="2CD3BE5B" w14:textId="0740C6F7" w:rsidR="000562AC" w:rsidRPr="002E7169" w:rsidRDefault="00364A37" w:rsidP="002E7169">
      <w:pPr>
        <w:pStyle w:val="Heading1"/>
        <w:numPr>
          <w:ilvl w:val="0"/>
          <w:numId w:val="5"/>
        </w:numPr>
        <w:spacing w:line="360" w:lineRule="auto"/>
        <w:jc w:val="both"/>
        <w:rPr>
          <w:rFonts w:cs="Arial"/>
          <w:sz w:val="22"/>
          <w:szCs w:val="22"/>
          <w:lang w:val="en-GB"/>
        </w:rPr>
      </w:pPr>
      <w:bookmarkStart w:id="1" w:name="_Toc496014012"/>
      <w:r w:rsidRPr="002E7169">
        <w:rPr>
          <w:rFonts w:cs="Arial"/>
          <w:sz w:val="22"/>
          <w:szCs w:val="22"/>
          <w:lang w:val="en-GB"/>
        </w:rPr>
        <w:t xml:space="preserve">Scope of competence </w:t>
      </w:r>
      <w:r w:rsidR="006E0067" w:rsidRPr="002E7169">
        <w:rPr>
          <w:rFonts w:cs="Arial"/>
          <w:sz w:val="22"/>
          <w:szCs w:val="22"/>
          <w:lang w:val="en-GB"/>
        </w:rPr>
        <w:t>and reviewing authority of the Panel</w:t>
      </w:r>
      <w:bookmarkEnd w:id="1"/>
      <w:r w:rsidR="006E0067" w:rsidRPr="002E7169">
        <w:rPr>
          <w:rFonts w:cs="Arial"/>
          <w:sz w:val="22"/>
          <w:szCs w:val="22"/>
          <w:lang w:val="en-GB"/>
        </w:rPr>
        <w:t xml:space="preserve"> </w:t>
      </w:r>
    </w:p>
    <w:p w14:paraId="32DEC153" w14:textId="4DC10AF7" w:rsidR="001052EA" w:rsidRPr="002E7169" w:rsidRDefault="00D91DC9" w:rsidP="002E7169">
      <w:pPr>
        <w:pStyle w:val="Heading2"/>
        <w:spacing w:line="360" w:lineRule="auto"/>
        <w:ind w:firstLine="720"/>
        <w:rPr>
          <w:rFonts w:cs="Arial"/>
          <w:i/>
          <w:sz w:val="22"/>
          <w:szCs w:val="22"/>
          <w:lang w:val="en-GB"/>
        </w:rPr>
      </w:pPr>
      <w:bookmarkStart w:id="2" w:name="_Toc496014013"/>
      <w:r w:rsidRPr="002E7169">
        <w:rPr>
          <w:rFonts w:cs="Arial"/>
          <w:i/>
          <w:sz w:val="22"/>
          <w:szCs w:val="22"/>
          <w:lang w:val="en-GB"/>
        </w:rPr>
        <w:t>2.1</w:t>
      </w:r>
      <w:r w:rsidRPr="002E7169">
        <w:rPr>
          <w:rFonts w:cs="Arial"/>
          <w:i/>
          <w:sz w:val="22"/>
          <w:szCs w:val="22"/>
          <w:lang w:val="en-GB"/>
        </w:rPr>
        <w:tab/>
      </w:r>
      <w:r w:rsidR="001052EA" w:rsidRPr="002E7169">
        <w:rPr>
          <w:rFonts w:cs="Arial"/>
          <w:i/>
          <w:sz w:val="22"/>
          <w:szCs w:val="22"/>
          <w:lang w:val="en-GB"/>
        </w:rPr>
        <w:t>General considerations</w:t>
      </w:r>
      <w:bookmarkEnd w:id="2"/>
    </w:p>
    <w:p w14:paraId="4346E187" w14:textId="77777777" w:rsidR="00086531" w:rsidRPr="002E7169" w:rsidRDefault="00086531" w:rsidP="002E7169">
      <w:pPr>
        <w:spacing w:line="360" w:lineRule="auto"/>
        <w:jc w:val="both"/>
        <w:rPr>
          <w:rFonts w:ascii="Arial" w:hAnsi="Arial" w:cs="Arial"/>
          <w:sz w:val="22"/>
          <w:szCs w:val="22"/>
          <w:lang w:val="en-GB"/>
        </w:rPr>
      </w:pPr>
    </w:p>
    <w:p w14:paraId="0C7AC720" w14:textId="3521A05F" w:rsidR="000562AC" w:rsidRPr="002E7169" w:rsidRDefault="00E46CBE" w:rsidP="002E7169">
      <w:pPr>
        <w:spacing w:line="360" w:lineRule="auto"/>
        <w:jc w:val="both"/>
        <w:rPr>
          <w:rFonts w:ascii="Arial" w:hAnsi="Arial" w:cs="Arial"/>
          <w:sz w:val="22"/>
          <w:szCs w:val="22"/>
          <w:lang w:val="en-GB"/>
        </w:rPr>
      </w:pPr>
      <w:r w:rsidRPr="002E7169">
        <w:rPr>
          <w:rFonts w:ascii="Arial" w:hAnsi="Arial" w:cs="Arial"/>
          <w:sz w:val="22"/>
          <w:szCs w:val="22"/>
          <w:lang w:val="en-GB"/>
        </w:rPr>
        <w:t>According to Rule 25, paragraph 1, of the Rules of Procedure, the Panel can examine complaints relating to the human rights violations by EULEX Kosovo in the conduct of its executive mandate in the justice, police and customs sectors. This jurisdictional framework was set for the Panel by the OPLAN of EULEX.</w:t>
      </w:r>
    </w:p>
    <w:p w14:paraId="298E1027" w14:textId="77777777" w:rsidR="000562AC" w:rsidRPr="002E7169" w:rsidRDefault="000562AC" w:rsidP="002E7169">
      <w:pPr>
        <w:spacing w:line="360" w:lineRule="auto"/>
        <w:jc w:val="both"/>
        <w:rPr>
          <w:rFonts w:ascii="Arial" w:hAnsi="Arial" w:cs="Arial"/>
          <w:sz w:val="22"/>
          <w:szCs w:val="22"/>
          <w:lang w:val="en-GB"/>
        </w:rPr>
      </w:pPr>
    </w:p>
    <w:p w14:paraId="0BC88B2E" w14:textId="25DF8B26" w:rsidR="00D91DC9" w:rsidRPr="002E7169" w:rsidRDefault="00D91DC9" w:rsidP="002E7169">
      <w:pPr>
        <w:pStyle w:val="Heading2"/>
        <w:spacing w:line="360" w:lineRule="auto"/>
        <w:ind w:firstLine="720"/>
        <w:rPr>
          <w:rFonts w:cs="Arial"/>
          <w:i/>
          <w:sz w:val="22"/>
          <w:szCs w:val="22"/>
          <w:lang w:val="en-GB"/>
        </w:rPr>
      </w:pPr>
      <w:bookmarkStart w:id="3" w:name="_Toc496014014"/>
      <w:r w:rsidRPr="002E7169">
        <w:rPr>
          <w:rFonts w:cs="Arial"/>
          <w:i/>
          <w:sz w:val="22"/>
          <w:szCs w:val="22"/>
          <w:lang w:val="en-GB"/>
        </w:rPr>
        <w:lastRenderedPageBreak/>
        <w:t>2.2</w:t>
      </w:r>
      <w:r w:rsidRPr="002E7169">
        <w:rPr>
          <w:rFonts w:cs="Arial"/>
          <w:i/>
          <w:sz w:val="22"/>
          <w:szCs w:val="22"/>
          <w:lang w:val="en-GB"/>
        </w:rPr>
        <w:tab/>
        <w:t>Ratione materiae</w:t>
      </w:r>
      <w:bookmarkEnd w:id="3"/>
    </w:p>
    <w:p w14:paraId="22FF8E60" w14:textId="6BF50343" w:rsidR="006E0067" w:rsidRPr="002E7169" w:rsidRDefault="00D91DC9" w:rsidP="002E7169">
      <w:pPr>
        <w:pStyle w:val="Heading3"/>
        <w:spacing w:line="360" w:lineRule="auto"/>
        <w:ind w:left="2160" w:hanging="720"/>
        <w:rPr>
          <w:rFonts w:ascii="Arial" w:hAnsi="Arial" w:cs="Arial"/>
          <w:sz w:val="22"/>
          <w:szCs w:val="22"/>
          <w:lang w:val="en-GB"/>
        </w:rPr>
      </w:pPr>
      <w:bookmarkStart w:id="4" w:name="_Toc496014015"/>
      <w:r w:rsidRPr="002E7169">
        <w:rPr>
          <w:rFonts w:ascii="Arial" w:hAnsi="Arial" w:cs="Arial"/>
          <w:sz w:val="22"/>
          <w:szCs w:val="22"/>
          <w:lang w:val="en-GB"/>
        </w:rPr>
        <w:t>2.2.1</w:t>
      </w:r>
      <w:r w:rsidRPr="002E7169">
        <w:rPr>
          <w:rFonts w:ascii="Arial" w:hAnsi="Arial" w:cs="Arial"/>
          <w:sz w:val="22"/>
          <w:szCs w:val="22"/>
          <w:lang w:val="en-GB"/>
        </w:rPr>
        <w:tab/>
      </w:r>
      <w:r w:rsidR="004C4E89" w:rsidRPr="002E7169">
        <w:rPr>
          <w:rFonts w:ascii="Arial" w:hAnsi="Arial" w:cs="Arial"/>
          <w:sz w:val="22"/>
          <w:szCs w:val="22"/>
          <w:lang w:val="en-GB"/>
        </w:rPr>
        <w:t xml:space="preserve">Acts and omission attributable to </w:t>
      </w:r>
      <w:r w:rsidR="00BA16BB" w:rsidRPr="002E7169">
        <w:rPr>
          <w:rFonts w:ascii="Arial" w:hAnsi="Arial" w:cs="Arial"/>
          <w:sz w:val="22"/>
          <w:szCs w:val="22"/>
          <w:lang w:val="en-GB"/>
        </w:rPr>
        <w:t>EULEX</w:t>
      </w:r>
      <w:r w:rsidR="004C4E89" w:rsidRPr="002E7169">
        <w:rPr>
          <w:rFonts w:ascii="Arial" w:hAnsi="Arial" w:cs="Arial"/>
          <w:sz w:val="22"/>
          <w:szCs w:val="22"/>
          <w:lang w:val="en-GB"/>
        </w:rPr>
        <w:t xml:space="preserve"> resulting in or contributing to rights violation</w:t>
      </w:r>
      <w:bookmarkEnd w:id="4"/>
      <w:r w:rsidR="004C4E89" w:rsidRPr="002E7169">
        <w:rPr>
          <w:rFonts w:ascii="Arial" w:hAnsi="Arial" w:cs="Arial"/>
          <w:sz w:val="22"/>
          <w:szCs w:val="22"/>
          <w:lang w:val="en-GB"/>
        </w:rPr>
        <w:t xml:space="preserve"> </w:t>
      </w:r>
    </w:p>
    <w:p w14:paraId="1FCE4738" w14:textId="1F97CBBB" w:rsidR="000562AC" w:rsidRPr="002E7169" w:rsidRDefault="00EF6C3D" w:rsidP="002E7169">
      <w:pPr>
        <w:spacing w:line="360" w:lineRule="auto"/>
        <w:jc w:val="both"/>
        <w:rPr>
          <w:rFonts w:ascii="Arial" w:hAnsi="Arial" w:cs="Arial"/>
          <w:sz w:val="22"/>
          <w:szCs w:val="22"/>
          <w:lang w:val="en-GB"/>
        </w:rPr>
      </w:pPr>
      <w:r w:rsidRPr="002E7169">
        <w:rPr>
          <w:rFonts w:ascii="Arial" w:hAnsi="Arial" w:cs="Arial"/>
          <w:sz w:val="22"/>
          <w:szCs w:val="22"/>
          <w:lang w:val="en-GB"/>
        </w:rPr>
        <w:t>The Panel is competent only in relation to violations of rights that are attributable to EULEX.  The Panel is not competent therefore to rule on conduct attributable to third parties, such as UNMIK,</w:t>
      </w:r>
      <w:r w:rsidRPr="002E7169">
        <w:rPr>
          <w:rStyle w:val="FootnoteReference"/>
          <w:rFonts w:ascii="Arial" w:hAnsi="Arial" w:cs="Arial"/>
          <w:sz w:val="22"/>
          <w:szCs w:val="22"/>
          <w:lang w:val="en-GB"/>
        </w:rPr>
        <w:footnoteReference w:id="3"/>
      </w:r>
      <w:r w:rsidR="006873BF" w:rsidRPr="002E7169">
        <w:rPr>
          <w:rFonts w:ascii="Arial" w:hAnsi="Arial" w:cs="Arial"/>
          <w:sz w:val="22"/>
          <w:szCs w:val="22"/>
          <w:lang w:val="en-GB"/>
        </w:rPr>
        <w:t xml:space="preserve"> Kosovo authorities</w:t>
      </w:r>
      <w:r w:rsidR="006873BF" w:rsidRPr="002E7169">
        <w:rPr>
          <w:rStyle w:val="FootnoteReference"/>
          <w:rFonts w:ascii="Arial" w:hAnsi="Arial" w:cs="Arial"/>
          <w:sz w:val="22"/>
          <w:szCs w:val="22"/>
          <w:lang w:val="en-GB"/>
        </w:rPr>
        <w:footnoteReference w:id="4"/>
      </w:r>
      <w:r w:rsidR="006873BF" w:rsidRPr="002E7169">
        <w:rPr>
          <w:rFonts w:ascii="Arial" w:hAnsi="Arial" w:cs="Arial"/>
          <w:sz w:val="22"/>
          <w:szCs w:val="22"/>
          <w:lang w:val="en-GB"/>
        </w:rPr>
        <w:t xml:space="preserve"> or third parties.</w:t>
      </w:r>
    </w:p>
    <w:p w14:paraId="0DFD8205" w14:textId="77777777" w:rsidR="00EF6C3D" w:rsidRPr="002E7169" w:rsidRDefault="00EF6C3D" w:rsidP="002E7169">
      <w:pPr>
        <w:spacing w:line="360" w:lineRule="auto"/>
        <w:jc w:val="both"/>
        <w:rPr>
          <w:rFonts w:ascii="Arial" w:hAnsi="Arial" w:cs="Arial"/>
          <w:sz w:val="22"/>
          <w:szCs w:val="22"/>
          <w:lang w:val="en-GB"/>
        </w:rPr>
      </w:pPr>
    </w:p>
    <w:p w14:paraId="06931819" w14:textId="455FF5DE" w:rsidR="00631198" w:rsidRPr="002E7169" w:rsidRDefault="00D91DC9" w:rsidP="002E7169">
      <w:pPr>
        <w:pStyle w:val="Heading3"/>
        <w:spacing w:line="360" w:lineRule="auto"/>
        <w:ind w:left="720" w:firstLine="720"/>
        <w:rPr>
          <w:rFonts w:ascii="Arial" w:hAnsi="Arial" w:cs="Arial"/>
          <w:sz w:val="22"/>
          <w:szCs w:val="22"/>
          <w:lang w:val="en-GB"/>
        </w:rPr>
      </w:pPr>
      <w:bookmarkStart w:id="5" w:name="_Toc496014016"/>
      <w:r w:rsidRPr="002E7169">
        <w:rPr>
          <w:rFonts w:ascii="Arial" w:hAnsi="Arial" w:cs="Arial"/>
          <w:sz w:val="22"/>
          <w:szCs w:val="22"/>
          <w:lang w:val="en-GB"/>
        </w:rPr>
        <w:t>2.2.2</w:t>
      </w:r>
      <w:r w:rsidRPr="002E7169">
        <w:rPr>
          <w:rFonts w:ascii="Arial" w:hAnsi="Arial" w:cs="Arial"/>
          <w:sz w:val="22"/>
          <w:szCs w:val="22"/>
          <w:lang w:val="en-GB"/>
        </w:rPr>
        <w:tab/>
      </w:r>
      <w:r w:rsidR="004C4E89" w:rsidRPr="002E7169">
        <w:rPr>
          <w:rFonts w:ascii="Arial" w:hAnsi="Arial" w:cs="Arial"/>
          <w:sz w:val="22"/>
          <w:szCs w:val="22"/>
          <w:lang w:val="en-GB"/>
        </w:rPr>
        <w:t>E</w:t>
      </w:r>
      <w:r w:rsidR="00BA16BB" w:rsidRPr="002E7169">
        <w:rPr>
          <w:rFonts w:ascii="Arial" w:hAnsi="Arial" w:cs="Arial"/>
          <w:sz w:val="22"/>
          <w:szCs w:val="22"/>
          <w:lang w:val="en-GB"/>
        </w:rPr>
        <w:t>xecutive mandate</w:t>
      </w:r>
      <w:bookmarkEnd w:id="5"/>
      <w:r w:rsidR="00BA16BB" w:rsidRPr="002E7169">
        <w:rPr>
          <w:rFonts w:ascii="Arial" w:hAnsi="Arial" w:cs="Arial"/>
          <w:sz w:val="22"/>
          <w:szCs w:val="22"/>
          <w:lang w:val="en-GB"/>
        </w:rPr>
        <w:t xml:space="preserve"> </w:t>
      </w:r>
      <w:r w:rsidR="00A07ED0" w:rsidRPr="002E7169">
        <w:rPr>
          <w:rFonts w:ascii="Arial" w:hAnsi="Arial" w:cs="Arial"/>
          <w:sz w:val="22"/>
          <w:szCs w:val="22"/>
          <w:lang w:val="en-GB"/>
        </w:rPr>
        <w:t>in the field of justice, police and customs</w:t>
      </w:r>
    </w:p>
    <w:p w14:paraId="04E957DA" w14:textId="6B5D6B31" w:rsidR="006873BF" w:rsidRPr="002E7169" w:rsidRDefault="00360DB8" w:rsidP="002E7169">
      <w:pPr>
        <w:spacing w:line="360" w:lineRule="auto"/>
        <w:jc w:val="both"/>
        <w:rPr>
          <w:rFonts w:ascii="Arial" w:hAnsi="Arial" w:cs="Arial"/>
          <w:sz w:val="22"/>
          <w:szCs w:val="22"/>
          <w:lang w:val="en-GB"/>
        </w:rPr>
      </w:pPr>
      <w:r w:rsidRPr="002E7169">
        <w:rPr>
          <w:rFonts w:ascii="Arial" w:hAnsi="Arial" w:cs="Arial"/>
          <w:sz w:val="22"/>
          <w:szCs w:val="22"/>
          <w:lang w:val="en-GB"/>
        </w:rPr>
        <w:t xml:space="preserve">The Panel’s mandate does not extend to all </w:t>
      </w:r>
      <w:r w:rsidR="00006DA6" w:rsidRPr="002E7169">
        <w:rPr>
          <w:rFonts w:ascii="Arial" w:hAnsi="Arial" w:cs="Arial"/>
          <w:sz w:val="22"/>
          <w:szCs w:val="22"/>
          <w:lang w:val="en-GB"/>
        </w:rPr>
        <w:t>activities of the Mission. In particular, t</w:t>
      </w:r>
      <w:r w:rsidR="006873BF" w:rsidRPr="002E7169">
        <w:rPr>
          <w:rFonts w:ascii="Arial" w:hAnsi="Arial" w:cs="Arial"/>
          <w:sz w:val="22"/>
          <w:szCs w:val="22"/>
          <w:lang w:val="en-GB"/>
        </w:rPr>
        <w:t>he Panel’s jurisdiction has been limited</w:t>
      </w:r>
      <w:r w:rsidR="00006DA6" w:rsidRPr="002E7169">
        <w:rPr>
          <w:rFonts w:ascii="Arial" w:hAnsi="Arial" w:cs="Arial"/>
          <w:sz w:val="22"/>
          <w:szCs w:val="22"/>
          <w:lang w:val="en-GB"/>
        </w:rPr>
        <w:t xml:space="preserve"> by the OPLAN</w:t>
      </w:r>
      <w:r w:rsidR="006873BF" w:rsidRPr="002E7169">
        <w:rPr>
          <w:rFonts w:ascii="Arial" w:hAnsi="Arial" w:cs="Arial"/>
          <w:sz w:val="22"/>
          <w:szCs w:val="22"/>
          <w:lang w:val="en-GB"/>
        </w:rPr>
        <w:t xml:space="preserve"> to the “executive” part of EULEX’s mandate.</w:t>
      </w:r>
      <w:r w:rsidR="006873BF" w:rsidRPr="002E7169">
        <w:rPr>
          <w:rStyle w:val="FootnoteReference"/>
          <w:rFonts w:ascii="Arial" w:hAnsi="Arial" w:cs="Arial"/>
          <w:sz w:val="22"/>
          <w:szCs w:val="22"/>
          <w:lang w:val="en-GB"/>
        </w:rPr>
        <w:footnoteReference w:id="5"/>
      </w:r>
      <w:r w:rsidR="006873BF" w:rsidRPr="002E7169">
        <w:rPr>
          <w:rFonts w:ascii="Arial" w:hAnsi="Arial" w:cs="Arial"/>
          <w:sz w:val="22"/>
          <w:szCs w:val="22"/>
          <w:lang w:val="en-GB"/>
        </w:rPr>
        <w:t xml:space="preserve"> Substantively, the mandate of EULEX therefore pertains to the performance of certain “executive” functions </w:t>
      </w:r>
      <w:r w:rsidR="006873BF" w:rsidRPr="002E7169">
        <w:rPr>
          <w:rFonts w:ascii="Arial" w:hAnsi="Arial" w:cs="Arial"/>
          <w:i/>
          <w:sz w:val="22"/>
          <w:szCs w:val="22"/>
          <w:lang w:val="en-GB"/>
        </w:rPr>
        <w:t>in the field of justice, police and customs</w:t>
      </w:r>
      <w:r w:rsidR="006873BF" w:rsidRPr="002E7169">
        <w:rPr>
          <w:rFonts w:ascii="Arial" w:hAnsi="Arial" w:cs="Arial"/>
          <w:sz w:val="22"/>
          <w:szCs w:val="22"/>
          <w:lang w:val="en-GB"/>
        </w:rPr>
        <w:t>.</w:t>
      </w:r>
      <w:r w:rsidR="006873BF" w:rsidRPr="002E7169">
        <w:rPr>
          <w:rStyle w:val="FootnoteReference"/>
          <w:rFonts w:ascii="Arial" w:hAnsi="Arial" w:cs="Arial"/>
          <w:sz w:val="22"/>
          <w:szCs w:val="22"/>
          <w:lang w:val="en-GB"/>
        </w:rPr>
        <w:footnoteReference w:id="6"/>
      </w:r>
      <w:r w:rsidR="006873BF" w:rsidRPr="002E7169">
        <w:rPr>
          <w:rFonts w:ascii="Arial" w:hAnsi="Arial" w:cs="Arial"/>
          <w:sz w:val="22"/>
          <w:szCs w:val="22"/>
          <w:lang w:val="en-GB"/>
        </w:rPr>
        <w:t xml:space="preserve"> This mandate sets the outer limits – </w:t>
      </w:r>
      <w:r w:rsidR="006873BF" w:rsidRPr="002E7169">
        <w:rPr>
          <w:rFonts w:ascii="Arial" w:hAnsi="Arial" w:cs="Arial"/>
          <w:i/>
          <w:sz w:val="22"/>
          <w:szCs w:val="22"/>
          <w:lang w:val="en-GB"/>
        </w:rPr>
        <w:t>ratione materiae</w:t>
      </w:r>
      <w:r w:rsidR="006873BF" w:rsidRPr="002E7169">
        <w:rPr>
          <w:rFonts w:ascii="Arial" w:hAnsi="Arial" w:cs="Arial"/>
          <w:sz w:val="22"/>
          <w:szCs w:val="22"/>
          <w:lang w:val="en-GB"/>
        </w:rPr>
        <w:t xml:space="preserve"> – of the competence of the Panel to review </w:t>
      </w:r>
      <w:r w:rsidR="00A07ED0" w:rsidRPr="002E7169">
        <w:rPr>
          <w:rFonts w:ascii="Arial" w:hAnsi="Arial" w:cs="Arial"/>
          <w:sz w:val="22"/>
          <w:szCs w:val="22"/>
          <w:lang w:val="en-GB"/>
        </w:rPr>
        <w:t>acts and conduct</w:t>
      </w:r>
      <w:r w:rsidR="006873BF" w:rsidRPr="002E7169">
        <w:rPr>
          <w:rFonts w:ascii="Arial" w:hAnsi="Arial" w:cs="Arial"/>
          <w:sz w:val="22"/>
          <w:szCs w:val="22"/>
          <w:lang w:val="en-GB"/>
        </w:rPr>
        <w:t xml:space="preserve"> of EULEX:</w:t>
      </w:r>
    </w:p>
    <w:p w14:paraId="06DC0B95" w14:textId="77777777" w:rsidR="006873BF" w:rsidRPr="002E7169" w:rsidRDefault="006873BF" w:rsidP="002E7169">
      <w:pPr>
        <w:spacing w:line="360" w:lineRule="auto"/>
        <w:ind w:left="720"/>
        <w:jc w:val="both"/>
        <w:rPr>
          <w:rFonts w:ascii="Arial" w:hAnsi="Arial" w:cs="Arial"/>
          <w:sz w:val="22"/>
          <w:szCs w:val="22"/>
          <w:lang w:val="en-GB"/>
        </w:rPr>
      </w:pPr>
    </w:p>
    <w:p w14:paraId="51BCCBA6" w14:textId="7DABDD91" w:rsidR="000562AC" w:rsidRPr="002E7169" w:rsidRDefault="006873BF" w:rsidP="002E7169">
      <w:pPr>
        <w:spacing w:line="360" w:lineRule="auto"/>
        <w:ind w:left="567"/>
        <w:jc w:val="both"/>
        <w:rPr>
          <w:rFonts w:ascii="Arial" w:hAnsi="Arial" w:cs="Arial"/>
          <w:sz w:val="22"/>
          <w:szCs w:val="22"/>
          <w:lang w:val="en-GB"/>
        </w:rPr>
      </w:pPr>
      <w:r w:rsidRPr="002E7169">
        <w:rPr>
          <w:rFonts w:ascii="Arial" w:hAnsi="Arial" w:cs="Arial"/>
          <w:sz w:val="22"/>
          <w:szCs w:val="22"/>
        </w:rPr>
        <w:t>“the Panel has to determine the scope of its jurisdiction for the purposes of the present case. It can only examine complaints relating to alleged violations of human rights by EULEX in the conduct of its executive mandate, including alleged actions by the EULEX police.</w:t>
      </w:r>
      <w:r w:rsidRPr="002E7169">
        <w:rPr>
          <w:rFonts w:ascii="Arial" w:hAnsi="Arial" w:cs="Arial"/>
          <w:sz w:val="22"/>
          <w:szCs w:val="22"/>
          <w:lang w:val="en-GB"/>
        </w:rPr>
        <w:t xml:space="preserve">” </w:t>
      </w:r>
      <w:r w:rsidRPr="002E7169">
        <w:rPr>
          <w:rStyle w:val="FootnoteReference"/>
          <w:rFonts w:ascii="Arial" w:hAnsi="Arial" w:cs="Arial"/>
          <w:sz w:val="22"/>
          <w:szCs w:val="22"/>
          <w:lang w:val="en-GB"/>
        </w:rPr>
        <w:footnoteReference w:id="7"/>
      </w:r>
    </w:p>
    <w:p w14:paraId="478EF0E8" w14:textId="77777777" w:rsidR="000562AC" w:rsidRPr="002E7169" w:rsidRDefault="000562AC" w:rsidP="002E7169">
      <w:pPr>
        <w:spacing w:line="360" w:lineRule="auto"/>
        <w:jc w:val="both"/>
        <w:rPr>
          <w:rFonts w:ascii="Arial" w:hAnsi="Arial" w:cs="Arial"/>
          <w:sz w:val="22"/>
          <w:szCs w:val="22"/>
          <w:lang w:val="en-GB"/>
        </w:rPr>
      </w:pPr>
    </w:p>
    <w:p w14:paraId="1455376E" w14:textId="250FC423" w:rsidR="007D7FA1" w:rsidRPr="002E7169" w:rsidRDefault="007D7FA1" w:rsidP="002E7169">
      <w:pPr>
        <w:spacing w:line="360" w:lineRule="auto"/>
        <w:jc w:val="both"/>
        <w:rPr>
          <w:rFonts w:ascii="Arial" w:hAnsi="Arial" w:cs="Arial"/>
          <w:bCs/>
          <w:sz w:val="22"/>
          <w:szCs w:val="22"/>
          <w:lang w:val="en-GB"/>
        </w:rPr>
      </w:pPr>
      <w:r w:rsidRPr="002E7169">
        <w:rPr>
          <w:rFonts w:ascii="Arial" w:hAnsi="Arial" w:cs="Arial"/>
          <w:sz w:val="22"/>
          <w:szCs w:val="22"/>
          <w:lang w:val="en-GB"/>
        </w:rPr>
        <w:t xml:space="preserve">This means, for instance, that </w:t>
      </w:r>
      <w:r w:rsidRPr="002E7169">
        <w:rPr>
          <w:rFonts w:ascii="Arial" w:hAnsi="Arial" w:cs="Arial"/>
          <w:bCs/>
          <w:sz w:val="22"/>
          <w:szCs w:val="22"/>
          <w:lang w:val="en-GB"/>
        </w:rPr>
        <w:t xml:space="preserve">employment matters, internal disciplinary and </w:t>
      </w:r>
      <w:r w:rsidRPr="002E7169">
        <w:rPr>
          <w:rFonts w:ascii="Arial" w:hAnsi="Arial" w:cs="Arial"/>
          <w:color w:val="000000"/>
          <w:sz w:val="22"/>
          <w:szCs w:val="22"/>
          <w:lang w:val="en-GB"/>
        </w:rPr>
        <w:t xml:space="preserve">tax matters </w:t>
      </w:r>
      <w:r w:rsidRPr="002E7169">
        <w:rPr>
          <w:rFonts w:ascii="Arial" w:hAnsi="Arial" w:cs="Arial"/>
          <w:bCs/>
          <w:sz w:val="22"/>
          <w:szCs w:val="22"/>
          <w:lang w:val="en-GB"/>
        </w:rPr>
        <w:t>fall beyond the scope of EULEX’s executive mandate.</w:t>
      </w:r>
      <w:r w:rsidRPr="002E7169">
        <w:rPr>
          <w:rStyle w:val="FootnoteReference"/>
          <w:rFonts w:ascii="Arial" w:hAnsi="Arial" w:cs="Arial"/>
          <w:bCs/>
          <w:sz w:val="22"/>
          <w:szCs w:val="22"/>
          <w:lang w:val="en-GB"/>
        </w:rPr>
        <w:footnoteReference w:id="8"/>
      </w:r>
    </w:p>
    <w:p w14:paraId="0988581D" w14:textId="77777777" w:rsidR="00006DA6" w:rsidRPr="002E7169" w:rsidRDefault="00006DA6" w:rsidP="002E7169">
      <w:pPr>
        <w:spacing w:line="360" w:lineRule="auto"/>
        <w:jc w:val="both"/>
        <w:rPr>
          <w:rFonts w:ascii="Arial" w:hAnsi="Arial" w:cs="Arial"/>
          <w:sz w:val="22"/>
          <w:szCs w:val="22"/>
          <w:lang w:val="en-GB"/>
        </w:rPr>
      </w:pPr>
    </w:p>
    <w:p w14:paraId="408A5C6C" w14:textId="243C299D" w:rsidR="006873BF" w:rsidRPr="002E7169" w:rsidRDefault="007D7FA1" w:rsidP="002E7169">
      <w:pPr>
        <w:spacing w:line="360" w:lineRule="auto"/>
        <w:jc w:val="both"/>
        <w:rPr>
          <w:rFonts w:ascii="Arial" w:hAnsi="Arial" w:cs="Arial"/>
          <w:sz w:val="22"/>
          <w:szCs w:val="22"/>
        </w:rPr>
      </w:pPr>
      <w:r w:rsidRPr="002E7169">
        <w:rPr>
          <w:rFonts w:ascii="Arial" w:hAnsi="Arial" w:cs="Arial"/>
          <w:sz w:val="22"/>
          <w:szCs w:val="22"/>
          <w:lang w:val="en-GB"/>
        </w:rPr>
        <w:lastRenderedPageBreak/>
        <w:t>F</w:t>
      </w:r>
      <w:r w:rsidR="006873BF" w:rsidRPr="002E7169">
        <w:rPr>
          <w:rFonts w:ascii="Arial" w:hAnsi="Arial" w:cs="Arial"/>
          <w:sz w:val="22"/>
          <w:szCs w:val="22"/>
          <w:lang w:val="en-GB"/>
        </w:rPr>
        <w:t xml:space="preserve">or further discussion of this matter, see HRRP’s </w:t>
      </w:r>
      <w:r w:rsidR="006873BF" w:rsidRPr="002E7169">
        <w:rPr>
          <w:rFonts w:ascii="Arial" w:hAnsi="Arial" w:cs="Arial"/>
          <w:sz w:val="22"/>
          <w:szCs w:val="22"/>
        </w:rPr>
        <w:t>Case-Law Note on Principles of Human Rights Accountability of a Rule of Law Mission.</w:t>
      </w:r>
      <w:r w:rsidR="006873BF" w:rsidRPr="002E7169">
        <w:rPr>
          <w:rStyle w:val="FootnoteReference"/>
          <w:rFonts w:ascii="Arial" w:hAnsi="Arial" w:cs="Arial"/>
          <w:sz w:val="22"/>
          <w:szCs w:val="22"/>
        </w:rPr>
        <w:footnoteReference w:id="9"/>
      </w:r>
      <w:r w:rsidR="006873BF" w:rsidRPr="002E7169">
        <w:rPr>
          <w:rFonts w:ascii="Arial" w:hAnsi="Arial" w:cs="Arial"/>
          <w:sz w:val="22"/>
          <w:szCs w:val="22"/>
        </w:rPr>
        <w:t xml:space="preserve"> </w:t>
      </w:r>
    </w:p>
    <w:p w14:paraId="6406C2AA" w14:textId="77777777" w:rsidR="006873BF" w:rsidRPr="002E7169" w:rsidRDefault="006873BF" w:rsidP="002E7169">
      <w:pPr>
        <w:spacing w:line="360" w:lineRule="auto"/>
        <w:jc w:val="both"/>
        <w:rPr>
          <w:rFonts w:ascii="Arial" w:hAnsi="Arial" w:cs="Arial"/>
          <w:sz w:val="22"/>
          <w:szCs w:val="22"/>
          <w:lang w:val="en-GB"/>
        </w:rPr>
      </w:pPr>
    </w:p>
    <w:p w14:paraId="2695D4D8" w14:textId="41730497" w:rsidR="00BA16BB" w:rsidRPr="002E7169" w:rsidRDefault="00D91DC9" w:rsidP="002E7169">
      <w:pPr>
        <w:pStyle w:val="Heading3"/>
        <w:spacing w:line="360" w:lineRule="auto"/>
        <w:ind w:left="720" w:firstLine="720"/>
        <w:rPr>
          <w:rFonts w:ascii="Arial" w:hAnsi="Arial" w:cs="Arial"/>
          <w:sz w:val="22"/>
          <w:szCs w:val="22"/>
          <w:lang w:val="en-GB"/>
        </w:rPr>
      </w:pPr>
      <w:bookmarkStart w:id="6" w:name="_Toc496014017"/>
      <w:r w:rsidRPr="002E7169">
        <w:rPr>
          <w:rFonts w:ascii="Arial" w:hAnsi="Arial" w:cs="Arial"/>
          <w:sz w:val="22"/>
          <w:szCs w:val="22"/>
          <w:lang w:val="en-GB"/>
        </w:rPr>
        <w:t>2.2.3</w:t>
      </w:r>
      <w:r w:rsidRPr="002E7169">
        <w:rPr>
          <w:rFonts w:ascii="Arial" w:hAnsi="Arial" w:cs="Arial"/>
          <w:sz w:val="22"/>
          <w:szCs w:val="22"/>
          <w:lang w:val="en-GB"/>
        </w:rPr>
        <w:tab/>
      </w:r>
      <w:r w:rsidR="00BA16BB" w:rsidRPr="002E7169">
        <w:rPr>
          <w:rFonts w:ascii="Arial" w:hAnsi="Arial" w:cs="Arial"/>
          <w:sz w:val="22"/>
          <w:szCs w:val="22"/>
          <w:lang w:val="en-GB"/>
        </w:rPr>
        <w:t>Exclusion of competence over Kosovo courts</w:t>
      </w:r>
      <w:bookmarkEnd w:id="6"/>
      <w:r w:rsidR="00BA16BB" w:rsidRPr="002E7169">
        <w:rPr>
          <w:rFonts w:ascii="Arial" w:hAnsi="Arial" w:cs="Arial"/>
          <w:sz w:val="22"/>
          <w:szCs w:val="22"/>
          <w:lang w:val="en-GB"/>
        </w:rPr>
        <w:t xml:space="preserve"> </w:t>
      </w:r>
    </w:p>
    <w:p w14:paraId="65B4F9D0" w14:textId="77777777" w:rsidR="00006DA6" w:rsidRPr="002E7169" w:rsidRDefault="00006DA6" w:rsidP="002E7169">
      <w:pPr>
        <w:spacing w:line="360" w:lineRule="auto"/>
        <w:jc w:val="both"/>
        <w:rPr>
          <w:rFonts w:ascii="Arial" w:hAnsi="Arial" w:cs="Arial"/>
          <w:b/>
          <w:sz w:val="22"/>
          <w:szCs w:val="22"/>
          <w:lang w:val="en-GB"/>
        </w:rPr>
      </w:pPr>
      <w:r w:rsidRPr="002E7169">
        <w:rPr>
          <w:rFonts w:ascii="Arial" w:hAnsi="Arial" w:cs="Arial"/>
          <w:b/>
          <w:sz w:val="22"/>
          <w:szCs w:val="22"/>
          <w:lang w:val="en-GB"/>
        </w:rPr>
        <w:t>The Panel has no competence over the acts and decision of Kosovo Courts</w:t>
      </w:r>
    </w:p>
    <w:p w14:paraId="797C8867" w14:textId="6AE099B8" w:rsidR="007D7FA1" w:rsidRPr="002E7169" w:rsidRDefault="007D7FA1" w:rsidP="002E7169">
      <w:pPr>
        <w:spacing w:line="360" w:lineRule="auto"/>
        <w:jc w:val="both"/>
        <w:rPr>
          <w:rFonts w:ascii="Arial" w:hAnsi="Arial" w:cs="Arial"/>
          <w:sz w:val="22"/>
          <w:szCs w:val="22"/>
          <w:lang w:val="en-GB"/>
        </w:rPr>
      </w:pPr>
      <w:r w:rsidRPr="002E7169">
        <w:rPr>
          <w:rFonts w:ascii="Arial" w:hAnsi="Arial" w:cs="Arial"/>
          <w:sz w:val="22"/>
          <w:szCs w:val="22"/>
          <w:lang w:val="en-GB"/>
        </w:rPr>
        <w:t>In keeping with the principle of judicial independence</w:t>
      </w:r>
      <w:r w:rsidR="00A07ED0" w:rsidRPr="002E7169">
        <w:rPr>
          <w:rFonts w:ascii="Arial" w:hAnsi="Arial" w:cs="Arial"/>
          <w:sz w:val="22"/>
          <w:szCs w:val="22"/>
          <w:lang w:val="en-GB"/>
        </w:rPr>
        <w:t>,</w:t>
      </w:r>
      <w:r w:rsidRPr="002E7169">
        <w:rPr>
          <w:rFonts w:ascii="Arial" w:hAnsi="Arial" w:cs="Arial"/>
          <w:sz w:val="22"/>
          <w:szCs w:val="22"/>
          <w:lang w:val="en-GB"/>
        </w:rPr>
        <w:t xml:space="preserve"> EULEX does not have executive </w:t>
      </w:r>
      <w:r w:rsidR="00A07ED0" w:rsidRPr="002E7169">
        <w:rPr>
          <w:rFonts w:ascii="Arial" w:hAnsi="Arial" w:cs="Arial"/>
          <w:sz w:val="22"/>
          <w:szCs w:val="22"/>
          <w:lang w:val="en-GB"/>
        </w:rPr>
        <w:t>competence</w:t>
      </w:r>
      <w:r w:rsidRPr="002E7169">
        <w:rPr>
          <w:rFonts w:ascii="Arial" w:hAnsi="Arial" w:cs="Arial"/>
          <w:sz w:val="22"/>
          <w:szCs w:val="22"/>
          <w:lang w:val="en-GB"/>
        </w:rPr>
        <w:t xml:space="preserve"> over the activities of the local judiciary – whether judicial or administrative in nature. It follows </w:t>
      </w:r>
      <w:r w:rsidR="00006DA6" w:rsidRPr="002E7169">
        <w:rPr>
          <w:rFonts w:ascii="Arial" w:hAnsi="Arial" w:cs="Arial"/>
          <w:sz w:val="22"/>
          <w:szCs w:val="22"/>
          <w:lang w:val="en-GB"/>
        </w:rPr>
        <w:t xml:space="preserve">from the OPLAN </w:t>
      </w:r>
      <w:r w:rsidRPr="002E7169">
        <w:rPr>
          <w:rFonts w:ascii="Arial" w:hAnsi="Arial" w:cs="Arial"/>
          <w:sz w:val="22"/>
          <w:szCs w:val="22"/>
          <w:lang w:val="en-GB"/>
        </w:rPr>
        <w:t>that the actions and omissions of the Kosovo judiciary are excluded in principle from the scope of the Panel’s jurisdiction. The Panel has clarified this issue by referring to the Rule 25 paragraph of its Rules of procedure and noting that:</w:t>
      </w:r>
    </w:p>
    <w:p w14:paraId="3989D97F" w14:textId="77777777" w:rsidR="007D7FA1" w:rsidRPr="002E7169" w:rsidRDefault="007D7FA1" w:rsidP="002E7169">
      <w:pPr>
        <w:spacing w:line="360" w:lineRule="auto"/>
        <w:jc w:val="both"/>
        <w:rPr>
          <w:rFonts w:ascii="Arial" w:hAnsi="Arial" w:cs="Arial"/>
          <w:sz w:val="22"/>
          <w:szCs w:val="22"/>
          <w:lang w:val="en-GB"/>
        </w:rPr>
      </w:pPr>
    </w:p>
    <w:p w14:paraId="78699D33" w14:textId="77777777" w:rsidR="007D7FA1" w:rsidRPr="002E7169" w:rsidRDefault="007D7FA1" w:rsidP="002E7169">
      <w:pPr>
        <w:spacing w:line="360" w:lineRule="auto"/>
        <w:ind w:left="720"/>
        <w:jc w:val="both"/>
        <w:rPr>
          <w:rFonts w:ascii="Arial" w:hAnsi="Arial" w:cs="Arial"/>
          <w:sz w:val="22"/>
          <w:szCs w:val="22"/>
          <w:lang w:val="en-GB"/>
        </w:rPr>
      </w:pPr>
      <w:r w:rsidRPr="002E7169">
        <w:rPr>
          <w:rFonts w:ascii="Arial" w:hAnsi="Arial" w:cs="Arial"/>
          <w:sz w:val="22"/>
          <w:szCs w:val="22"/>
        </w:rPr>
        <w:t xml:space="preserve">“14. </w:t>
      </w:r>
      <w:r w:rsidRPr="002E7169">
        <w:rPr>
          <w:rFonts w:ascii="Arial" w:hAnsi="Arial" w:cs="Arial"/>
          <w:color w:val="000000"/>
          <w:sz w:val="22"/>
          <w:szCs w:val="22"/>
        </w:rPr>
        <w:t xml:space="preserve">According to the said Rule, based on the accountability concept in the OPLAN of EULEX Kosovo, the Panel cannot review judicial proceedings before the courts of Kosovo. </w:t>
      </w:r>
      <w:r w:rsidRPr="002E7169">
        <w:rPr>
          <w:rFonts w:ascii="Arial" w:hAnsi="Arial" w:cs="Arial"/>
          <w:sz w:val="22"/>
          <w:szCs w:val="22"/>
        </w:rPr>
        <w:t>In particular, it is not its function to deal with errors of fact or law allegedly committed by a Kosovo court unless and in so far as they may have infringed rights and freedoms protected by international human rights law applicable in Kosovo.”</w:t>
      </w:r>
      <w:r w:rsidRPr="002E7169">
        <w:rPr>
          <w:rStyle w:val="FootnoteReference"/>
          <w:rFonts w:ascii="Arial" w:hAnsi="Arial" w:cs="Arial"/>
          <w:sz w:val="22"/>
          <w:szCs w:val="22"/>
        </w:rPr>
        <w:footnoteReference w:id="10"/>
      </w:r>
    </w:p>
    <w:p w14:paraId="06C092FC" w14:textId="77777777" w:rsidR="007D7FA1" w:rsidRPr="002E7169" w:rsidRDefault="007D7FA1" w:rsidP="002E7169">
      <w:pPr>
        <w:spacing w:line="360" w:lineRule="auto"/>
        <w:jc w:val="both"/>
        <w:rPr>
          <w:rFonts w:ascii="Arial" w:hAnsi="Arial" w:cs="Arial"/>
          <w:sz w:val="22"/>
          <w:szCs w:val="22"/>
          <w:lang w:val="en-GB"/>
        </w:rPr>
      </w:pPr>
    </w:p>
    <w:p w14:paraId="24D37EED" w14:textId="77777777" w:rsidR="007D7FA1" w:rsidRPr="002E7169" w:rsidRDefault="007D7FA1" w:rsidP="002E7169">
      <w:pPr>
        <w:spacing w:line="360" w:lineRule="auto"/>
        <w:jc w:val="both"/>
        <w:rPr>
          <w:rFonts w:ascii="Arial" w:hAnsi="Arial" w:cs="Arial"/>
          <w:sz w:val="22"/>
          <w:szCs w:val="22"/>
          <w:lang w:val="en-GB"/>
        </w:rPr>
      </w:pPr>
      <w:r w:rsidRPr="002E7169">
        <w:rPr>
          <w:rFonts w:ascii="Arial" w:hAnsi="Arial" w:cs="Arial"/>
          <w:sz w:val="22"/>
          <w:szCs w:val="22"/>
          <w:lang w:val="en-GB"/>
        </w:rPr>
        <w:t>The Panel further clarified the contours of its lack of jurisdiction over judicial activities when it stated that:</w:t>
      </w:r>
    </w:p>
    <w:p w14:paraId="60B91879" w14:textId="77777777" w:rsidR="007D7FA1" w:rsidRPr="002E7169" w:rsidRDefault="007D7FA1" w:rsidP="002E7169">
      <w:pPr>
        <w:spacing w:line="360" w:lineRule="auto"/>
        <w:ind w:left="720"/>
        <w:jc w:val="both"/>
        <w:rPr>
          <w:rFonts w:ascii="Arial" w:hAnsi="Arial" w:cs="Arial"/>
          <w:sz w:val="22"/>
          <w:szCs w:val="22"/>
          <w:lang w:val="en-GB"/>
        </w:rPr>
      </w:pPr>
    </w:p>
    <w:p w14:paraId="37ECB3A6" w14:textId="77777777" w:rsidR="007D7FA1" w:rsidRPr="002E7169" w:rsidRDefault="007D7FA1" w:rsidP="002E7169">
      <w:pPr>
        <w:spacing w:line="360" w:lineRule="auto"/>
        <w:ind w:left="720"/>
        <w:jc w:val="both"/>
        <w:rPr>
          <w:rFonts w:ascii="Arial" w:hAnsi="Arial" w:cs="Arial"/>
          <w:sz w:val="22"/>
          <w:szCs w:val="22"/>
          <w:lang w:val="en-GB"/>
        </w:rPr>
      </w:pPr>
      <w:r w:rsidRPr="002E7169">
        <w:rPr>
          <w:rFonts w:ascii="Arial" w:hAnsi="Arial" w:cs="Arial"/>
          <w:sz w:val="22"/>
          <w:szCs w:val="22"/>
        </w:rPr>
        <w:t>“</w:t>
      </w:r>
      <w:r w:rsidRPr="002E7169">
        <w:rPr>
          <w:rFonts w:ascii="Arial" w:hAnsi="Arial" w:cs="Arial"/>
          <w:sz w:val="22"/>
          <w:szCs w:val="22"/>
          <w:lang w:val="en-GB"/>
        </w:rPr>
        <w:t xml:space="preserve">The Panel notes that the complainant’s grievances concern a dispute between him and the Organisation of KLA Veterans regarding his veteran status. The complainant unsuccessfully tried to bring his case before the Kosovo courts. According to Rule 25 paragraph 1, based on the accountability concept in the OPLAN of EULEX Kosovo, the Panel cannot in principle review judicial proceedings before the courts of Kosovo. It has no jurisdiction in respect of either administrative or judicial aspects of the work of Kosovo courts. Consequently, the Panel cannot influence the outcome of judicial proceedings or the speed with which the pending complaints are examined by the Kosovo </w:t>
      </w:r>
      <w:r w:rsidRPr="002E7169">
        <w:rPr>
          <w:rFonts w:ascii="Arial" w:hAnsi="Arial" w:cs="Arial"/>
          <w:sz w:val="22"/>
          <w:szCs w:val="22"/>
          <w:lang w:val="en-GB"/>
        </w:rPr>
        <w:lastRenderedPageBreak/>
        <w:t>courts. Even where EULEX judges take part in the proceedings, it does not detract from the fact that this court forms part of the Kosovo judiciary […]”</w:t>
      </w:r>
      <w:r w:rsidRPr="002E7169">
        <w:rPr>
          <w:rStyle w:val="FootnoteReference"/>
          <w:rFonts w:ascii="Arial" w:hAnsi="Arial" w:cs="Arial"/>
          <w:sz w:val="22"/>
          <w:szCs w:val="22"/>
          <w:lang w:val="en-GB"/>
        </w:rPr>
        <w:footnoteReference w:id="11"/>
      </w:r>
    </w:p>
    <w:p w14:paraId="0EB4AB0B" w14:textId="77777777" w:rsidR="007D7FA1" w:rsidRPr="002E7169" w:rsidRDefault="007D7FA1" w:rsidP="002E7169">
      <w:pPr>
        <w:spacing w:line="360" w:lineRule="auto"/>
        <w:ind w:left="720"/>
        <w:jc w:val="both"/>
        <w:rPr>
          <w:rFonts w:ascii="Arial" w:hAnsi="Arial" w:cs="Arial"/>
          <w:sz w:val="22"/>
          <w:szCs w:val="22"/>
          <w:lang w:val="en-GB"/>
        </w:rPr>
      </w:pPr>
    </w:p>
    <w:p w14:paraId="44128044" w14:textId="77777777" w:rsidR="007D7FA1" w:rsidRPr="002E7169" w:rsidRDefault="007D7FA1" w:rsidP="002E7169">
      <w:pPr>
        <w:spacing w:line="360" w:lineRule="auto"/>
        <w:jc w:val="both"/>
        <w:rPr>
          <w:rFonts w:ascii="Arial" w:hAnsi="Arial" w:cs="Arial"/>
          <w:sz w:val="22"/>
          <w:szCs w:val="22"/>
          <w:lang w:val="en-GB"/>
        </w:rPr>
      </w:pPr>
      <w:r w:rsidRPr="002E7169">
        <w:rPr>
          <w:rFonts w:ascii="Arial" w:hAnsi="Arial" w:cs="Arial"/>
          <w:sz w:val="22"/>
          <w:szCs w:val="22"/>
          <w:lang w:val="en-GB"/>
        </w:rPr>
        <w:t xml:space="preserve">In keeping with the above, the Panel has noted that it could not evaluate complaints that pertain, for instance, to the length of judicial proceedings: </w:t>
      </w:r>
    </w:p>
    <w:p w14:paraId="14CF7E2F" w14:textId="77777777" w:rsidR="007D7FA1" w:rsidRPr="002E7169" w:rsidRDefault="007D7FA1" w:rsidP="002E7169">
      <w:pPr>
        <w:spacing w:line="360" w:lineRule="auto"/>
        <w:jc w:val="both"/>
        <w:rPr>
          <w:rFonts w:ascii="Arial" w:hAnsi="Arial" w:cs="Arial"/>
          <w:sz w:val="22"/>
          <w:szCs w:val="22"/>
          <w:lang w:val="en-GB"/>
        </w:rPr>
      </w:pPr>
    </w:p>
    <w:p w14:paraId="77287D81" w14:textId="77777777" w:rsidR="007D7FA1" w:rsidRPr="002E7169" w:rsidRDefault="007D7FA1" w:rsidP="002E7169">
      <w:pPr>
        <w:spacing w:line="360" w:lineRule="auto"/>
        <w:ind w:left="720"/>
        <w:jc w:val="both"/>
        <w:rPr>
          <w:rFonts w:ascii="Arial" w:hAnsi="Arial" w:cs="Arial"/>
          <w:sz w:val="22"/>
          <w:szCs w:val="22"/>
          <w:lang w:val="en-GB"/>
        </w:rPr>
      </w:pPr>
      <w:r w:rsidRPr="002E7169">
        <w:rPr>
          <w:rFonts w:ascii="Arial" w:hAnsi="Arial" w:cs="Arial"/>
          <w:sz w:val="22"/>
          <w:szCs w:val="22"/>
          <w:lang w:val="en-GB"/>
        </w:rPr>
        <w:t xml:space="preserve"> “With regard to the alleged excessive length of the criminal proceedings before the Court the present complaint concerns judicial proceedings conducted by the courts in Kosovo. The Panel therefore finds, under Rule 25 of its Rules of Procedure, that it lacks jurisdiction to examine the compatibility of judicial proceedings before the courts of Kosovo with the human rights standards (See also Panel’s decision in the case of SH.P.K “SYRI” v. EULEX (2011-05, Decision of 14 September 2011). In any event, the Panel notes that the criminal proceedings against the complainant which were pending before the courts for two years do not appear to raise an issue as to their compatibility with the right to have a case heard within a reasonable time.”</w:t>
      </w:r>
      <w:r w:rsidRPr="002E7169">
        <w:rPr>
          <w:rStyle w:val="FootnoteReference"/>
          <w:rFonts w:ascii="Arial" w:hAnsi="Arial" w:cs="Arial"/>
          <w:sz w:val="22"/>
          <w:szCs w:val="22"/>
          <w:lang w:val="en-GB"/>
        </w:rPr>
        <w:t xml:space="preserve"> </w:t>
      </w:r>
      <w:r w:rsidRPr="002E7169">
        <w:rPr>
          <w:rStyle w:val="FootnoteReference"/>
          <w:rFonts w:ascii="Arial" w:hAnsi="Arial" w:cs="Arial"/>
          <w:sz w:val="22"/>
          <w:szCs w:val="22"/>
          <w:lang w:val="en-GB"/>
        </w:rPr>
        <w:footnoteReference w:id="12"/>
      </w:r>
    </w:p>
    <w:p w14:paraId="6763B30D" w14:textId="77777777" w:rsidR="007D7FA1" w:rsidRPr="002E7169" w:rsidRDefault="007D7FA1" w:rsidP="002E7169">
      <w:pPr>
        <w:spacing w:line="360" w:lineRule="auto"/>
        <w:ind w:left="720"/>
        <w:jc w:val="both"/>
        <w:rPr>
          <w:rFonts w:ascii="Arial" w:hAnsi="Arial" w:cs="Arial"/>
          <w:sz w:val="22"/>
          <w:szCs w:val="22"/>
          <w:lang w:val="en-GB"/>
        </w:rPr>
      </w:pPr>
    </w:p>
    <w:p w14:paraId="77B7874A" w14:textId="68514F22" w:rsidR="007D7FA1" w:rsidRPr="002E7169" w:rsidRDefault="007D7FA1" w:rsidP="002E7169">
      <w:pPr>
        <w:spacing w:line="360" w:lineRule="auto"/>
        <w:jc w:val="both"/>
        <w:rPr>
          <w:rFonts w:ascii="Arial" w:hAnsi="Arial" w:cs="Arial"/>
          <w:sz w:val="22"/>
          <w:szCs w:val="22"/>
          <w:lang w:val="en-GB"/>
        </w:rPr>
      </w:pPr>
      <w:r w:rsidRPr="002E7169">
        <w:rPr>
          <w:rFonts w:ascii="Arial" w:hAnsi="Arial" w:cs="Arial"/>
          <w:sz w:val="22"/>
          <w:szCs w:val="22"/>
          <w:lang w:val="en-GB"/>
        </w:rPr>
        <w:t xml:space="preserve">Nor, the Panel made clear, was it competent to revise or revisit a decision of the judicial authority: </w:t>
      </w:r>
    </w:p>
    <w:p w14:paraId="56CE2C46" w14:textId="2211B0A8" w:rsidR="007D7FA1" w:rsidRPr="002E7169" w:rsidRDefault="007D7FA1" w:rsidP="002E7169">
      <w:pPr>
        <w:spacing w:line="360" w:lineRule="auto"/>
        <w:ind w:left="720"/>
        <w:jc w:val="both"/>
        <w:rPr>
          <w:rFonts w:ascii="Arial" w:hAnsi="Arial" w:cs="Arial"/>
          <w:sz w:val="22"/>
          <w:szCs w:val="22"/>
          <w:lang w:val="en-GB"/>
        </w:rPr>
      </w:pPr>
      <w:r w:rsidRPr="002E7169">
        <w:rPr>
          <w:rFonts w:ascii="Arial" w:hAnsi="Arial" w:cs="Arial"/>
          <w:sz w:val="22"/>
          <w:szCs w:val="22"/>
        </w:rPr>
        <w:t>“27.</w:t>
      </w:r>
      <w:r w:rsidR="00867E43" w:rsidRPr="002E7169">
        <w:rPr>
          <w:rFonts w:ascii="Arial" w:hAnsi="Arial" w:cs="Arial"/>
          <w:sz w:val="22"/>
          <w:szCs w:val="22"/>
        </w:rPr>
        <w:t xml:space="preserve"> </w:t>
      </w:r>
      <w:r w:rsidRPr="002E7169">
        <w:rPr>
          <w:rFonts w:ascii="Arial" w:hAnsi="Arial" w:cs="Arial"/>
          <w:color w:val="000000"/>
          <w:sz w:val="22"/>
          <w:szCs w:val="22"/>
          <w:lang w:val="en-GB"/>
        </w:rPr>
        <w:t xml:space="preserve">The present complaint concerns a request to reverse a final decision of the Supreme Court of Kosovo. 28.The Panel notes that it </w:t>
      </w:r>
      <w:r w:rsidRPr="002E7169">
        <w:rPr>
          <w:rFonts w:ascii="Arial" w:hAnsi="Arial" w:cs="Arial"/>
          <w:color w:val="000000"/>
          <w:sz w:val="22"/>
          <w:szCs w:val="22"/>
        </w:rPr>
        <w:t>does not have a mandate to reverse any decision made by a Kosovo court. The Panel is not a court of appeal against the decisions of Kosovo courts. Its mandate does not cover examining errors of fact or law allegedly committed by those courts. It is not the panel’s function to examine the decisions taken by Kosovo courts with regard to admissibility and the assessment of evidence either.”</w:t>
      </w:r>
      <w:r w:rsidRPr="002E7169">
        <w:rPr>
          <w:rStyle w:val="FootnoteReference"/>
          <w:rFonts w:ascii="Arial" w:hAnsi="Arial" w:cs="Arial"/>
          <w:color w:val="000000"/>
          <w:sz w:val="22"/>
          <w:szCs w:val="22"/>
        </w:rPr>
        <w:footnoteReference w:id="13"/>
      </w:r>
    </w:p>
    <w:p w14:paraId="45761D08" w14:textId="77777777" w:rsidR="00006DA6" w:rsidRPr="002E7169" w:rsidRDefault="00006DA6" w:rsidP="002E7169">
      <w:pPr>
        <w:spacing w:line="360" w:lineRule="auto"/>
        <w:jc w:val="both"/>
        <w:rPr>
          <w:rFonts w:ascii="Arial" w:hAnsi="Arial" w:cs="Arial"/>
          <w:sz w:val="22"/>
          <w:szCs w:val="22"/>
          <w:lang w:val="en-GB"/>
        </w:rPr>
      </w:pPr>
    </w:p>
    <w:p w14:paraId="26385AB7" w14:textId="77777777" w:rsidR="00006DA6" w:rsidRPr="002E7169" w:rsidRDefault="00006DA6" w:rsidP="002E7169">
      <w:pPr>
        <w:spacing w:line="360" w:lineRule="auto"/>
        <w:jc w:val="both"/>
        <w:rPr>
          <w:rFonts w:ascii="Arial" w:hAnsi="Arial" w:cs="Arial"/>
          <w:b/>
          <w:sz w:val="22"/>
          <w:szCs w:val="22"/>
          <w:lang w:val="en-GB"/>
        </w:rPr>
      </w:pPr>
      <w:r w:rsidRPr="002E7169">
        <w:rPr>
          <w:rFonts w:ascii="Arial" w:hAnsi="Arial" w:cs="Arial"/>
          <w:b/>
          <w:sz w:val="22"/>
          <w:szCs w:val="22"/>
          <w:lang w:val="en-GB"/>
        </w:rPr>
        <w:t xml:space="preserve">The fact that EULEX Judges sat as members of a particular Court or bench does not affect the situation </w:t>
      </w:r>
    </w:p>
    <w:p w14:paraId="1EACAF27" w14:textId="5AFCDEB1" w:rsidR="007D7FA1" w:rsidRPr="002E7169" w:rsidRDefault="007D7FA1" w:rsidP="002E7169">
      <w:pPr>
        <w:spacing w:line="360" w:lineRule="auto"/>
        <w:jc w:val="both"/>
        <w:rPr>
          <w:rFonts w:ascii="Arial" w:hAnsi="Arial" w:cs="Arial"/>
          <w:sz w:val="22"/>
          <w:szCs w:val="22"/>
          <w:lang w:val="en-GB"/>
        </w:rPr>
      </w:pPr>
      <w:r w:rsidRPr="002E7169">
        <w:rPr>
          <w:rFonts w:ascii="Arial" w:hAnsi="Arial" w:cs="Arial"/>
          <w:sz w:val="22"/>
          <w:szCs w:val="22"/>
          <w:lang w:val="en-GB"/>
        </w:rPr>
        <w:t>It is of note here that a number of EULEX staff sat as Judges of Kosovo Tribunals. The Panel made clear, however, that the</w:t>
      </w:r>
      <w:r w:rsidR="00006DA6" w:rsidRPr="002E7169">
        <w:rPr>
          <w:rFonts w:ascii="Arial" w:hAnsi="Arial" w:cs="Arial"/>
          <w:sz w:val="22"/>
          <w:szCs w:val="22"/>
          <w:lang w:val="en-GB"/>
        </w:rPr>
        <w:t xml:space="preserve"> presence of one or more EULEX J</w:t>
      </w:r>
      <w:r w:rsidRPr="002E7169">
        <w:rPr>
          <w:rFonts w:ascii="Arial" w:hAnsi="Arial" w:cs="Arial"/>
          <w:sz w:val="22"/>
          <w:szCs w:val="22"/>
          <w:lang w:val="en-GB"/>
        </w:rPr>
        <w:t xml:space="preserve">udge on </w:t>
      </w:r>
      <w:r w:rsidR="00006DA6" w:rsidRPr="002E7169">
        <w:rPr>
          <w:rFonts w:ascii="Arial" w:hAnsi="Arial" w:cs="Arial"/>
          <w:sz w:val="22"/>
          <w:szCs w:val="22"/>
          <w:lang w:val="en-GB"/>
        </w:rPr>
        <w:t>any Kosovo court</w:t>
      </w:r>
      <w:r w:rsidRPr="002E7169">
        <w:rPr>
          <w:rFonts w:ascii="Arial" w:hAnsi="Arial" w:cs="Arial"/>
          <w:sz w:val="22"/>
          <w:szCs w:val="22"/>
          <w:lang w:val="en-GB"/>
        </w:rPr>
        <w:t xml:space="preserve"> did not modify the “Kosovo” nature of that </w:t>
      </w:r>
      <w:r w:rsidR="00006DA6" w:rsidRPr="002E7169">
        <w:rPr>
          <w:rFonts w:ascii="Arial" w:hAnsi="Arial" w:cs="Arial"/>
          <w:sz w:val="22"/>
          <w:szCs w:val="22"/>
          <w:lang w:val="en-GB"/>
        </w:rPr>
        <w:t>court</w:t>
      </w:r>
      <w:r w:rsidRPr="002E7169">
        <w:rPr>
          <w:rFonts w:ascii="Arial" w:hAnsi="Arial" w:cs="Arial"/>
          <w:sz w:val="22"/>
          <w:szCs w:val="22"/>
          <w:lang w:val="en-GB"/>
        </w:rPr>
        <w:t xml:space="preserve"> so that the Panel did not </w:t>
      </w:r>
      <w:r w:rsidRPr="002E7169">
        <w:rPr>
          <w:rFonts w:ascii="Arial" w:hAnsi="Arial" w:cs="Arial"/>
          <w:sz w:val="22"/>
          <w:szCs w:val="22"/>
          <w:lang w:val="en-GB"/>
        </w:rPr>
        <w:lastRenderedPageBreak/>
        <w:t xml:space="preserve">acquire </w:t>
      </w:r>
      <w:r w:rsidR="00006DA6" w:rsidRPr="002E7169">
        <w:rPr>
          <w:rFonts w:ascii="Arial" w:hAnsi="Arial" w:cs="Arial"/>
          <w:sz w:val="22"/>
          <w:szCs w:val="22"/>
          <w:lang w:val="en-GB"/>
        </w:rPr>
        <w:t>competence over a case merely because EULEX Judges sat in a particular court</w:t>
      </w:r>
      <w:r w:rsidRPr="002E7169">
        <w:rPr>
          <w:rFonts w:ascii="Arial" w:hAnsi="Arial" w:cs="Arial"/>
          <w:sz w:val="22"/>
          <w:szCs w:val="22"/>
          <w:lang w:val="en-GB"/>
        </w:rPr>
        <w:t xml:space="preserve">: </w:t>
      </w:r>
    </w:p>
    <w:p w14:paraId="61C81B7F" w14:textId="77777777" w:rsidR="007D7FA1" w:rsidRPr="002E7169" w:rsidRDefault="007D7FA1" w:rsidP="002E7169">
      <w:pPr>
        <w:spacing w:line="360" w:lineRule="auto"/>
        <w:ind w:left="720"/>
        <w:jc w:val="both"/>
        <w:rPr>
          <w:rFonts w:ascii="Arial" w:hAnsi="Arial" w:cs="Arial"/>
          <w:sz w:val="22"/>
          <w:szCs w:val="22"/>
          <w:lang w:val="en-GB"/>
        </w:rPr>
      </w:pPr>
    </w:p>
    <w:p w14:paraId="54D3B70B" w14:textId="1BB2EA6F" w:rsidR="007D7FA1" w:rsidRPr="002E7169" w:rsidRDefault="007D7FA1" w:rsidP="002E7169">
      <w:pPr>
        <w:spacing w:line="360" w:lineRule="auto"/>
        <w:ind w:left="720"/>
        <w:jc w:val="both"/>
        <w:rPr>
          <w:rFonts w:ascii="Arial" w:hAnsi="Arial" w:cs="Arial"/>
          <w:sz w:val="22"/>
          <w:szCs w:val="22"/>
          <w:lang w:val="en-GB"/>
        </w:rPr>
      </w:pPr>
      <w:r w:rsidRPr="002E7169">
        <w:rPr>
          <w:rFonts w:ascii="Arial" w:hAnsi="Arial" w:cs="Arial"/>
          <w:sz w:val="22"/>
          <w:szCs w:val="22"/>
          <w:lang w:val="en-GB"/>
        </w:rPr>
        <w:t>“</w:t>
      </w:r>
      <w:r w:rsidRPr="002E7169">
        <w:rPr>
          <w:rFonts w:ascii="Arial" w:hAnsi="Arial" w:cs="Arial"/>
          <w:sz w:val="22"/>
          <w:szCs w:val="22"/>
        </w:rPr>
        <w:t>25.</w:t>
      </w:r>
      <w:r w:rsidR="00867E43" w:rsidRPr="002E7169">
        <w:rPr>
          <w:rFonts w:ascii="Arial" w:hAnsi="Arial" w:cs="Arial"/>
          <w:sz w:val="22"/>
          <w:szCs w:val="22"/>
        </w:rPr>
        <w:t xml:space="preserve"> </w:t>
      </w:r>
      <w:r w:rsidRPr="002E7169">
        <w:rPr>
          <w:rFonts w:ascii="Arial" w:hAnsi="Arial" w:cs="Arial"/>
          <w:sz w:val="22"/>
          <w:szCs w:val="22"/>
        </w:rPr>
        <w:t xml:space="preserve">The Panel has held on numerous occasions that, according to Rule 25, paragraph 1 of its Rules of Procedure, based on the accountability concept in the OPLAN of EULEX Kosovo, it has no jurisdiction in respect of either administrative or judicial aspects of the work of Kosovo courts. </w:t>
      </w:r>
      <w:r w:rsidRPr="002E7169">
        <w:rPr>
          <w:rFonts w:ascii="Arial" w:hAnsi="Arial" w:cs="Arial"/>
          <w:i/>
          <w:sz w:val="22"/>
          <w:szCs w:val="22"/>
        </w:rPr>
        <w:t>The fact that EULEX judges sit on the bench does not detract from the courts the character as part of the Kosovo judiciary</w:t>
      </w:r>
      <w:r w:rsidRPr="002E7169">
        <w:rPr>
          <w:rFonts w:ascii="Arial" w:hAnsi="Arial" w:cs="Arial"/>
          <w:sz w:val="22"/>
          <w:szCs w:val="22"/>
        </w:rPr>
        <w:t xml:space="preserve"> [...]”.</w:t>
      </w:r>
      <w:r w:rsidRPr="002E7169">
        <w:rPr>
          <w:rStyle w:val="FootnoteReference"/>
          <w:rFonts w:ascii="Arial" w:hAnsi="Arial" w:cs="Arial"/>
          <w:sz w:val="22"/>
          <w:szCs w:val="22"/>
        </w:rPr>
        <w:footnoteReference w:id="14"/>
      </w:r>
    </w:p>
    <w:p w14:paraId="59220E04" w14:textId="77777777" w:rsidR="007D7FA1" w:rsidRPr="002E7169" w:rsidRDefault="007D7FA1" w:rsidP="002E7169">
      <w:pPr>
        <w:spacing w:line="360" w:lineRule="auto"/>
        <w:jc w:val="both"/>
        <w:rPr>
          <w:rFonts w:ascii="Arial" w:hAnsi="Arial" w:cs="Arial"/>
          <w:sz w:val="22"/>
          <w:szCs w:val="22"/>
          <w:lang w:val="en-GB"/>
        </w:rPr>
      </w:pPr>
    </w:p>
    <w:p w14:paraId="0A80944F" w14:textId="77777777" w:rsidR="007D7FA1" w:rsidRPr="002E7169" w:rsidRDefault="007D7FA1" w:rsidP="002E7169">
      <w:pPr>
        <w:spacing w:line="360" w:lineRule="auto"/>
        <w:jc w:val="both"/>
        <w:rPr>
          <w:rFonts w:ascii="Arial" w:hAnsi="Arial" w:cs="Arial"/>
          <w:sz w:val="22"/>
          <w:szCs w:val="22"/>
          <w:lang w:val="en-GB"/>
        </w:rPr>
      </w:pPr>
      <w:r w:rsidRPr="002E7169">
        <w:rPr>
          <w:rFonts w:ascii="Arial" w:hAnsi="Arial" w:cs="Arial"/>
          <w:sz w:val="22"/>
          <w:szCs w:val="22"/>
          <w:lang w:val="en-GB"/>
        </w:rPr>
        <w:t xml:space="preserve">The same principle was applied even when a particular judicial bench consisted </w:t>
      </w:r>
      <w:r w:rsidRPr="002E7169">
        <w:rPr>
          <w:rFonts w:ascii="Arial" w:hAnsi="Arial" w:cs="Arial"/>
          <w:i/>
          <w:sz w:val="22"/>
          <w:szCs w:val="22"/>
          <w:lang w:val="en-GB"/>
        </w:rPr>
        <w:t>entirely</w:t>
      </w:r>
      <w:r w:rsidRPr="002E7169">
        <w:rPr>
          <w:rFonts w:ascii="Arial" w:hAnsi="Arial" w:cs="Arial"/>
          <w:sz w:val="22"/>
          <w:szCs w:val="22"/>
          <w:lang w:val="en-GB"/>
        </w:rPr>
        <w:t xml:space="preserve"> of EULEX judges:</w:t>
      </w:r>
    </w:p>
    <w:p w14:paraId="01C660E9" w14:textId="77777777" w:rsidR="007D7FA1" w:rsidRPr="002E7169" w:rsidRDefault="007D7FA1" w:rsidP="002E7169">
      <w:pPr>
        <w:spacing w:line="360" w:lineRule="auto"/>
        <w:ind w:left="720"/>
        <w:jc w:val="both"/>
        <w:rPr>
          <w:rFonts w:ascii="Arial" w:hAnsi="Arial" w:cs="Arial"/>
          <w:sz w:val="22"/>
          <w:szCs w:val="22"/>
          <w:lang w:val="en-GB"/>
        </w:rPr>
      </w:pPr>
    </w:p>
    <w:p w14:paraId="328085B0" w14:textId="39D87027" w:rsidR="007D7FA1" w:rsidRPr="002E7169" w:rsidRDefault="007D7FA1" w:rsidP="002E7169">
      <w:pPr>
        <w:spacing w:line="360" w:lineRule="auto"/>
        <w:ind w:left="720"/>
        <w:jc w:val="both"/>
        <w:rPr>
          <w:rFonts w:ascii="Arial" w:hAnsi="Arial" w:cs="Arial"/>
          <w:sz w:val="22"/>
          <w:szCs w:val="22"/>
          <w:lang w:val="en-GB"/>
        </w:rPr>
      </w:pPr>
      <w:r w:rsidRPr="002E7169">
        <w:rPr>
          <w:rFonts w:ascii="Arial" w:hAnsi="Arial" w:cs="Arial"/>
          <w:sz w:val="22"/>
          <w:szCs w:val="22"/>
          <w:lang w:val="en-GB"/>
        </w:rPr>
        <w:t>“</w:t>
      </w:r>
      <w:r w:rsidRPr="002E7169">
        <w:rPr>
          <w:rFonts w:ascii="Arial" w:hAnsi="Arial" w:cs="Arial"/>
          <w:sz w:val="22"/>
          <w:szCs w:val="22"/>
        </w:rPr>
        <w:t>16.</w:t>
      </w:r>
      <w:r w:rsidR="00867E43" w:rsidRPr="002E7169">
        <w:rPr>
          <w:rFonts w:ascii="Arial" w:hAnsi="Arial" w:cs="Arial"/>
          <w:sz w:val="22"/>
          <w:szCs w:val="22"/>
        </w:rPr>
        <w:t xml:space="preserve"> </w:t>
      </w:r>
      <w:r w:rsidRPr="002E7169">
        <w:rPr>
          <w:rFonts w:ascii="Arial" w:hAnsi="Arial" w:cs="Arial"/>
          <w:sz w:val="22"/>
          <w:szCs w:val="22"/>
        </w:rPr>
        <w:t>Furthermore, the indictment in the case has already been lodged before a court and the case is now being prepared for trial. The complaint relates to judicial proceedings before a court of Kosovo. The fact that the case has been taken over by EULEX under the provisions of Law on Jurisdiction, Case Selection and Case Allocation of EULEX Judges and Prosecutors in Kosovo (Law no. 03 L/053) does not detract from the fact that the acts of courts composed in their entirety of EULEX judges remain the courts of Kosovo. The Panel notes that it is not entitled to review the judicial proceedings (as mentioned above, Para 14.). Therefore the complaint does not fall within the ambit of the Panel’s mandate.”</w:t>
      </w:r>
      <w:r w:rsidRPr="002E7169">
        <w:rPr>
          <w:rStyle w:val="FootnoteReference"/>
          <w:rFonts w:ascii="Arial" w:hAnsi="Arial" w:cs="Arial"/>
          <w:sz w:val="22"/>
          <w:szCs w:val="22"/>
        </w:rPr>
        <w:footnoteReference w:id="15"/>
      </w:r>
    </w:p>
    <w:p w14:paraId="07958FE1" w14:textId="77777777" w:rsidR="007D7FA1" w:rsidRPr="002E7169" w:rsidRDefault="007D7FA1" w:rsidP="002E7169">
      <w:pPr>
        <w:spacing w:line="360" w:lineRule="auto"/>
        <w:jc w:val="both"/>
        <w:rPr>
          <w:rFonts w:ascii="Arial" w:hAnsi="Arial" w:cs="Arial"/>
          <w:sz w:val="22"/>
          <w:szCs w:val="22"/>
          <w:lang w:val="en-GB"/>
        </w:rPr>
      </w:pPr>
    </w:p>
    <w:p w14:paraId="2216A642" w14:textId="3856CAF5" w:rsidR="00006DA6" w:rsidRPr="002E7169" w:rsidRDefault="00006DA6" w:rsidP="002E7169">
      <w:pPr>
        <w:spacing w:line="360" w:lineRule="auto"/>
        <w:jc w:val="both"/>
        <w:rPr>
          <w:rFonts w:ascii="Arial" w:hAnsi="Arial" w:cs="Arial"/>
          <w:sz w:val="22"/>
          <w:szCs w:val="22"/>
          <w:lang w:val="en-GB"/>
        </w:rPr>
      </w:pPr>
      <w:r w:rsidRPr="002E7169">
        <w:rPr>
          <w:rFonts w:ascii="Arial" w:hAnsi="Arial" w:cs="Arial"/>
          <w:sz w:val="22"/>
          <w:szCs w:val="22"/>
          <w:lang w:val="en-GB"/>
        </w:rPr>
        <w:t>To summarise,</w:t>
      </w:r>
      <w:r w:rsidR="007D7FA1" w:rsidRPr="002E7169">
        <w:rPr>
          <w:rFonts w:ascii="Arial" w:hAnsi="Arial" w:cs="Arial"/>
          <w:sz w:val="22"/>
          <w:szCs w:val="22"/>
          <w:lang w:val="en-GB"/>
        </w:rPr>
        <w:t xml:space="preserve"> the Panel has no jurisdiction in principle over the actions of Kosovo courts, and thus no competence to address issues of length of judicial proceedings, nor can it consider alleged errors of law attributed to the judiciary. </w:t>
      </w:r>
    </w:p>
    <w:p w14:paraId="25272CE4" w14:textId="77777777" w:rsidR="00006DA6" w:rsidRPr="002E7169" w:rsidRDefault="00006DA6" w:rsidP="002E7169">
      <w:pPr>
        <w:spacing w:line="360" w:lineRule="auto"/>
        <w:jc w:val="both"/>
        <w:rPr>
          <w:rFonts w:ascii="Arial" w:hAnsi="Arial" w:cs="Arial"/>
          <w:sz w:val="22"/>
          <w:szCs w:val="22"/>
          <w:lang w:val="en-GB"/>
        </w:rPr>
      </w:pPr>
    </w:p>
    <w:p w14:paraId="40B61946" w14:textId="77777777" w:rsidR="00006DA6" w:rsidRPr="002E7169" w:rsidRDefault="00006DA6" w:rsidP="002E7169">
      <w:pPr>
        <w:spacing w:line="360" w:lineRule="auto"/>
        <w:jc w:val="both"/>
        <w:rPr>
          <w:rFonts w:ascii="Arial" w:hAnsi="Arial" w:cs="Arial"/>
          <w:b/>
          <w:sz w:val="22"/>
          <w:szCs w:val="22"/>
          <w:lang w:val="en-GB"/>
        </w:rPr>
      </w:pPr>
      <w:r w:rsidRPr="002E7169">
        <w:rPr>
          <w:rFonts w:ascii="Arial" w:hAnsi="Arial" w:cs="Arial"/>
          <w:b/>
          <w:sz w:val="22"/>
          <w:szCs w:val="22"/>
          <w:lang w:val="en-GB"/>
        </w:rPr>
        <w:t>No exception for non-executive matters</w:t>
      </w:r>
    </w:p>
    <w:p w14:paraId="24F476D6" w14:textId="77777777" w:rsidR="00006DA6" w:rsidRPr="002E7169" w:rsidRDefault="00006DA6" w:rsidP="002E7169">
      <w:pPr>
        <w:spacing w:line="360" w:lineRule="auto"/>
        <w:jc w:val="both"/>
        <w:rPr>
          <w:rFonts w:ascii="Arial" w:hAnsi="Arial" w:cs="Arial"/>
          <w:sz w:val="22"/>
          <w:szCs w:val="22"/>
          <w:lang w:val="en-GB"/>
        </w:rPr>
      </w:pPr>
    </w:p>
    <w:p w14:paraId="517FB281" w14:textId="77777777" w:rsidR="00006DA6" w:rsidRPr="002E7169" w:rsidRDefault="00006DA6" w:rsidP="002E7169">
      <w:pPr>
        <w:spacing w:line="360" w:lineRule="auto"/>
        <w:jc w:val="both"/>
        <w:rPr>
          <w:rFonts w:ascii="Arial" w:hAnsi="Arial" w:cs="Arial"/>
          <w:sz w:val="22"/>
          <w:szCs w:val="22"/>
          <w:lang w:val="en-GB"/>
        </w:rPr>
      </w:pPr>
      <w:r w:rsidRPr="002E7169">
        <w:rPr>
          <w:rFonts w:ascii="Arial" w:hAnsi="Arial" w:cs="Arial"/>
          <w:sz w:val="22"/>
          <w:szCs w:val="22"/>
          <w:lang w:val="en-GB"/>
        </w:rPr>
        <w:t xml:space="preserve">The Panel has also made it clear that it lacks competence over activities other than those coming within the “executive” actions of the EULEX judges, when it noted that: </w:t>
      </w:r>
    </w:p>
    <w:p w14:paraId="2AEFD2A2" w14:textId="77777777" w:rsidR="00006DA6" w:rsidRPr="002E7169" w:rsidRDefault="00006DA6" w:rsidP="002E7169">
      <w:pPr>
        <w:spacing w:line="360" w:lineRule="auto"/>
        <w:jc w:val="both"/>
        <w:rPr>
          <w:rFonts w:ascii="Arial" w:hAnsi="Arial" w:cs="Arial"/>
          <w:sz w:val="22"/>
          <w:szCs w:val="22"/>
          <w:lang w:val="en-GB"/>
        </w:rPr>
      </w:pPr>
    </w:p>
    <w:p w14:paraId="4D706D8A" w14:textId="77777777" w:rsidR="00006DA6" w:rsidRPr="002E7169" w:rsidRDefault="00006DA6" w:rsidP="002E7169">
      <w:pPr>
        <w:spacing w:line="360" w:lineRule="auto"/>
        <w:ind w:left="720"/>
        <w:jc w:val="both"/>
        <w:rPr>
          <w:rFonts w:ascii="Arial" w:hAnsi="Arial" w:cs="Arial"/>
          <w:sz w:val="22"/>
          <w:szCs w:val="22"/>
          <w:lang w:val="en-GB"/>
        </w:rPr>
      </w:pPr>
      <w:r w:rsidRPr="002E7169">
        <w:rPr>
          <w:rFonts w:ascii="Arial" w:hAnsi="Arial" w:cs="Arial"/>
          <w:sz w:val="22"/>
          <w:szCs w:val="22"/>
          <w:lang w:val="en-GB"/>
        </w:rPr>
        <w:t>“19. The complaint submitted to EULEX, referred to in par. 11 above, did not trigger the Panel’s jurisdiction to examine the case as a matter falling within the executive mandate of EULEX. When the EULEX judge replied to the complaint, he did not exercise executive authority within the meaning of the EULEX Accountability Concept of 29 October 2009 on the establishment of the Human Rights Review Panel […]”</w:t>
      </w:r>
      <w:r w:rsidRPr="002E7169">
        <w:rPr>
          <w:rStyle w:val="FootnoteReference"/>
          <w:rFonts w:ascii="Arial" w:hAnsi="Arial" w:cs="Arial"/>
          <w:sz w:val="22"/>
          <w:szCs w:val="22"/>
          <w:lang w:val="en-GB"/>
        </w:rPr>
        <w:footnoteReference w:id="16"/>
      </w:r>
      <w:r w:rsidRPr="002E7169">
        <w:rPr>
          <w:rFonts w:ascii="Arial" w:hAnsi="Arial" w:cs="Arial"/>
          <w:sz w:val="22"/>
          <w:szCs w:val="22"/>
          <w:lang w:val="en-GB"/>
        </w:rPr>
        <w:t xml:space="preserve"> </w:t>
      </w:r>
    </w:p>
    <w:p w14:paraId="0F5FB6B2" w14:textId="77777777" w:rsidR="00006DA6" w:rsidRPr="002E7169" w:rsidRDefault="00006DA6" w:rsidP="002E7169">
      <w:pPr>
        <w:spacing w:line="360" w:lineRule="auto"/>
        <w:jc w:val="both"/>
        <w:rPr>
          <w:rFonts w:ascii="Arial" w:hAnsi="Arial" w:cs="Arial"/>
          <w:sz w:val="22"/>
          <w:szCs w:val="22"/>
          <w:lang w:val="en-GB"/>
        </w:rPr>
      </w:pPr>
    </w:p>
    <w:p w14:paraId="687C94F6" w14:textId="77777777" w:rsidR="00006DA6" w:rsidRPr="002E7169" w:rsidRDefault="00006DA6" w:rsidP="002E7169">
      <w:pPr>
        <w:spacing w:line="360" w:lineRule="auto"/>
        <w:jc w:val="both"/>
        <w:rPr>
          <w:rFonts w:ascii="Arial" w:hAnsi="Arial" w:cs="Arial"/>
          <w:b/>
          <w:sz w:val="22"/>
          <w:szCs w:val="22"/>
          <w:lang w:val="en-GB"/>
        </w:rPr>
      </w:pPr>
      <w:r w:rsidRPr="002E7169">
        <w:rPr>
          <w:rFonts w:ascii="Arial" w:hAnsi="Arial" w:cs="Arial"/>
          <w:b/>
          <w:sz w:val="22"/>
          <w:szCs w:val="22"/>
          <w:lang w:val="en-GB"/>
        </w:rPr>
        <w:t xml:space="preserve">Competence of the Panel over the actions of EULEX Prosecutors (prior to indictments) </w:t>
      </w:r>
    </w:p>
    <w:p w14:paraId="3D087F07" w14:textId="3095500B" w:rsidR="007D7FA1" w:rsidRPr="002E7169" w:rsidRDefault="007D7FA1" w:rsidP="002E7169">
      <w:pPr>
        <w:spacing w:line="360" w:lineRule="auto"/>
        <w:jc w:val="both"/>
        <w:rPr>
          <w:rFonts w:ascii="Arial" w:hAnsi="Arial" w:cs="Arial"/>
          <w:sz w:val="22"/>
          <w:szCs w:val="22"/>
          <w:lang w:val="en-GB"/>
        </w:rPr>
      </w:pPr>
      <w:r w:rsidRPr="002E7169">
        <w:rPr>
          <w:rFonts w:ascii="Arial" w:hAnsi="Arial" w:cs="Arial"/>
          <w:sz w:val="22"/>
          <w:szCs w:val="22"/>
          <w:lang w:val="en-GB"/>
        </w:rPr>
        <w:t>The Panel made it clear that, “in certain circumstances its jurisdiction would cover decisions and acts of judicial authorities as such, in particular where credible allegations of human rights violations attributed to EULEX judges have not been fully addressed by the competent judicial authorities in the appellate proceedings [...].”</w:t>
      </w:r>
      <w:r w:rsidRPr="002E7169">
        <w:rPr>
          <w:rStyle w:val="FootnoteReference"/>
          <w:rFonts w:ascii="Arial" w:hAnsi="Arial" w:cs="Arial"/>
          <w:sz w:val="22"/>
          <w:szCs w:val="22"/>
          <w:lang w:val="en-GB"/>
        </w:rPr>
        <w:footnoteReference w:id="17"/>
      </w:r>
      <w:r w:rsidRPr="002E7169">
        <w:rPr>
          <w:rFonts w:ascii="Arial" w:hAnsi="Arial" w:cs="Arial"/>
          <w:sz w:val="22"/>
          <w:szCs w:val="22"/>
          <w:lang w:val="en-GB"/>
        </w:rPr>
        <w:t xml:space="preserve"> The Panel further specified this narrow exception in the following terms:</w:t>
      </w:r>
    </w:p>
    <w:p w14:paraId="09FDF65B" w14:textId="77777777" w:rsidR="007D7FA1" w:rsidRPr="002E7169" w:rsidRDefault="007D7FA1" w:rsidP="002E7169">
      <w:pPr>
        <w:spacing w:line="360" w:lineRule="auto"/>
        <w:jc w:val="both"/>
        <w:rPr>
          <w:rFonts w:ascii="Arial" w:hAnsi="Arial" w:cs="Arial"/>
          <w:sz w:val="22"/>
          <w:szCs w:val="22"/>
          <w:lang w:val="en-GB"/>
        </w:rPr>
      </w:pPr>
    </w:p>
    <w:p w14:paraId="6EE0A71F" w14:textId="77777777" w:rsidR="007D7FA1" w:rsidRPr="002E7169" w:rsidRDefault="007D7FA1" w:rsidP="002E7169">
      <w:pPr>
        <w:suppressAutoHyphens/>
        <w:autoSpaceDE w:val="0"/>
        <w:spacing w:line="360" w:lineRule="auto"/>
        <w:ind w:left="720"/>
        <w:jc w:val="both"/>
        <w:rPr>
          <w:rFonts w:ascii="Arial" w:hAnsi="Arial" w:cs="Arial"/>
          <w:i/>
          <w:sz w:val="22"/>
          <w:szCs w:val="22"/>
          <w:lang w:val="en-GB"/>
        </w:rPr>
      </w:pPr>
      <w:r w:rsidRPr="002E7169">
        <w:rPr>
          <w:rFonts w:ascii="Arial" w:hAnsi="Arial" w:cs="Arial"/>
          <w:sz w:val="22"/>
          <w:szCs w:val="22"/>
          <w:lang w:val="en-GB"/>
        </w:rPr>
        <w:t xml:space="preserve">“[T]he Panel cannot in principle review decisions of EULEX judges as such. The Panel has already held, however, that it cannot be excluded that in certain circumstances the Panel’s jurisdiction would cover decisions and acts of the prosecuting authorities in criminal investigations even when they were subject to a subsequent judicial review. The Panel would only intervene if and where allegations of human rights violations attributed to the prosecutor have not been fully addressed by the competent judicial authorities (see </w:t>
      </w:r>
      <w:hyperlink r:id="rId9" w:history="1">
        <w:r w:rsidRPr="002E7169">
          <w:rPr>
            <w:rStyle w:val="Hyperlink"/>
            <w:rFonts w:ascii="Arial" w:hAnsi="Arial" w:cs="Arial"/>
            <w:i/>
            <w:sz w:val="22"/>
            <w:szCs w:val="22"/>
            <w:lang w:val="en-GB"/>
          </w:rPr>
          <w:t>Z against EULEX</w:t>
        </w:r>
      </w:hyperlink>
      <w:r w:rsidRPr="002E7169">
        <w:rPr>
          <w:rFonts w:ascii="Arial" w:hAnsi="Arial" w:cs="Arial"/>
          <w:sz w:val="22"/>
          <w:szCs w:val="22"/>
          <w:lang w:val="en-GB"/>
        </w:rPr>
        <w:t>, no. 2012-06, 10 April 2013 at par. 34). The same reasoning could apply to a complaint pertaining to the acts and decisions of judicial authorities as such where credible allegations of human rights violations attributed to EULEX judges have not been fully addressed by the competent judicial authorities in the appellate proceedings.”</w:t>
      </w:r>
    </w:p>
    <w:p w14:paraId="3B783497" w14:textId="77777777" w:rsidR="007D7FA1" w:rsidRPr="002E7169" w:rsidRDefault="007D7FA1" w:rsidP="002E7169">
      <w:pPr>
        <w:suppressAutoHyphens/>
        <w:autoSpaceDE w:val="0"/>
        <w:spacing w:line="360" w:lineRule="auto"/>
        <w:ind w:left="720"/>
        <w:jc w:val="both"/>
        <w:rPr>
          <w:rFonts w:ascii="Arial" w:hAnsi="Arial" w:cs="Arial"/>
          <w:i/>
          <w:sz w:val="22"/>
          <w:szCs w:val="22"/>
          <w:lang w:val="en-GB"/>
        </w:rPr>
      </w:pPr>
      <w:r w:rsidRPr="002E7169">
        <w:rPr>
          <w:rFonts w:ascii="Arial" w:hAnsi="Arial" w:cs="Arial"/>
          <w:sz w:val="22"/>
          <w:szCs w:val="22"/>
          <w:lang w:val="en-GB"/>
        </w:rPr>
        <w:t>16.In this regard, the Panel refers to the explanatory memorandum of 15 September 2009 to the Accountability Concept of EULEX Kosovo. It makes it clear that the Panel is not excluded from evaluating judicial actions as: “[a]</w:t>
      </w:r>
      <w:r w:rsidRPr="002E7169">
        <w:rPr>
          <w:rFonts w:ascii="Arial" w:hAnsi="Arial" w:cs="Arial"/>
          <w:i/>
          <w:sz w:val="22"/>
          <w:szCs w:val="22"/>
          <w:lang w:val="en-GB"/>
        </w:rPr>
        <w:t xml:space="preserve">ll matters dealt with by the ordinary courts in Kosovo have to be addressed […]. This does not mean, however, that the judiciary is entirely exempted from the </w:t>
      </w:r>
      <w:r w:rsidRPr="002E7169">
        <w:rPr>
          <w:rFonts w:ascii="Arial" w:hAnsi="Arial" w:cs="Arial"/>
          <w:i/>
          <w:sz w:val="22"/>
          <w:szCs w:val="22"/>
          <w:lang w:val="en-GB"/>
        </w:rPr>
        <w:lastRenderedPageBreak/>
        <w:t xml:space="preserve">review by the Panel per se. In the same way as individual deeds by a judge may be addressed separately if the action of the respective judge amounts to perverting the course of justice, the Panel may review complaints addressing human rights violations of similar nature or violations of the procedural human rights, notably the right to a fair trial. The Panel will at any time respect the independence of the judiciary.” </w:t>
      </w:r>
      <w:r w:rsidRPr="002E7169">
        <w:rPr>
          <w:rStyle w:val="FootnoteReference"/>
          <w:rFonts w:ascii="Arial" w:hAnsi="Arial" w:cs="Arial"/>
          <w:i/>
          <w:sz w:val="22"/>
          <w:szCs w:val="22"/>
          <w:lang w:val="en-GB"/>
        </w:rPr>
        <w:footnoteReference w:id="18"/>
      </w:r>
    </w:p>
    <w:p w14:paraId="6F4C5EE2" w14:textId="77777777" w:rsidR="00006DA6" w:rsidRPr="002E7169" w:rsidRDefault="00006DA6" w:rsidP="002E7169">
      <w:pPr>
        <w:spacing w:line="360" w:lineRule="auto"/>
        <w:jc w:val="both"/>
        <w:rPr>
          <w:rFonts w:ascii="Arial" w:hAnsi="Arial" w:cs="Arial"/>
          <w:sz w:val="22"/>
          <w:szCs w:val="22"/>
          <w:lang w:val="en-GB"/>
        </w:rPr>
      </w:pPr>
    </w:p>
    <w:p w14:paraId="07DAA464" w14:textId="28A6E658" w:rsidR="007D7FA1" w:rsidRPr="002E7169" w:rsidRDefault="007D7FA1" w:rsidP="002E7169">
      <w:pPr>
        <w:spacing w:line="360" w:lineRule="auto"/>
        <w:jc w:val="both"/>
        <w:rPr>
          <w:rFonts w:ascii="Arial" w:hAnsi="Arial" w:cs="Arial"/>
          <w:sz w:val="22"/>
          <w:szCs w:val="22"/>
          <w:lang w:val="en-GB"/>
        </w:rPr>
      </w:pPr>
      <w:r w:rsidRPr="002E7169">
        <w:rPr>
          <w:rFonts w:ascii="Arial" w:hAnsi="Arial" w:cs="Arial"/>
          <w:sz w:val="22"/>
          <w:szCs w:val="22"/>
          <w:lang w:val="en-GB"/>
        </w:rPr>
        <w:t xml:space="preserve">This narrow </w:t>
      </w:r>
      <w:r w:rsidR="00006DA6" w:rsidRPr="002E7169">
        <w:rPr>
          <w:rFonts w:ascii="Arial" w:hAnsi="Arial" w:cs="Arial"/>
          <w:sz w:val="22"/>
          <w:szCs w:val="22"/>
          <w:lang w:val="en-GB"/>
        </w:rPr>
        <w:t>qualification regarding the Panel’s competence</w:t>
      </w:r>
      <w:r w:rsidRPr="002E7169">
        <w:rPr>
          <w:rFonts w:ascii="Arial" w:hAnsi="Arial" w:cs="Arial"/>
          <w:sz w:val="22"/>
          <w:szCs w:val="22"/>
          <w:lang w:val="en-GB"/>
        </w:rPr>
        <w:t xml:space="preserve"> was </w:t>
      </w:r>
      <w:r w:rsidR="00006DA6" w:rsidRPr="002E7169">
        <w:rPr>
          <w:rFonts w:ascii="Arial" w:hAnsi="Arial" w:cs="Arial"/>
          <w:sz w:val="22"/>
          <w:szCs w:val="22"/>
          <w:lang w:val="en-GB"/>
        </w:rPr>
        <w:t>drawn up</w:t>
      </w:r>
      <w:r w:rsidRPr="002E7169">
        <w:rPr>
          <w:rFonts w:ascii="Arial" w:hAnsi="Arial" w:cs="Arial"/>
          <w:sz w:val="22"/>
          <w:szCs w:val="22"/>
          <w:lang w:val="en-GB"/>
        </w:rPr>
        <w:t xml:space="preserve"> to account for the situation where a violation of rights occurred in the context of judicial proceedings and where the tribunal seized of the matter failed to fully address the alleged violation, thereby leaving the complainant without an effective remedy to address his right-based complaint. The following provides an illustration of that situation: </w:t>
      </w:r>
    </w:p>
    <w:p w14:paraId="69E13BDC" w14:textId="70308812" w:rsidR="007D7FA1" w:rsidRPr="002E7169" w:rsidRDefault="00006DA6" w:rsidP="002E7169">
      <w:pPr>
        <w:spacing w:line="360" w:lineRule="auto"/>
        <w:ind w:left="720"/>
        <w:jc w:val="both"/>
        <w:rPr>
          <w:rFonts w:ascii="Arial" w:hAnsi="Arial" w:cs="Arial"/>
          <w:sz w:val="22"/>
          <w:szCs w:val="22"/>
        </w:rPr>
      </w:pPr>
      <w:r w:rsidRPr="002E7169">
        <w:rPr>
          <w:rFonts w:ascii="Arial" w:hAnsi="Arial" w:cs="Arial"/>
          <w:sz w:val="22"/>
          <w:szCs w:val="22"/>
        </w:rPr>
        <w:t>“</w:t>
      </w:r>
      <w:r w:rsidR="007D7FA1" w:rsidRPr="002E7169">
        <w:rPr>
          <w:rFonts w:ascii="Arial" w:hAnsi="Arial" w:cs="Arial"/>
          <w:sz w:val="22"/>
          <w:szCs w:val="22"/>
        </w:rPr>
        <w:t>18. The Panel recalls that the right of access to a court, namely the right to institute proceedings before the court, is, in principle, guaranteed by Article 6 of the Convention […]. An individual may not benefit from the further guarantees laid down in paragraph 1 of Article 6, namely  fair, public and expeditious judicial proceedings if such proceedings are not first initiated. And in civil matters one can scarcely conceive of the rule of law without there being a possibility of having access to the courts. Although the right of access to court may be subject to limitations in the form of regulation by law, they must pursue a legitimate aim and there must be a reasonable relationship of proportionality between them and the aim sought to be achieved […].</w:t>
      </w:r>
    </w:p>
    <w:p w14:paraId="00C25538" w14:textId="77777777" w:rsidR="007D7FA1" w:rsidRPr="002E7169" w:rsidRDefault="007D7FA1" w:rsidP="002E7169">
      <w:pPr>
        <w:spacing w:line="360" w:lineRule="auto"/>
        <w:ind w:left="720"/>
        <w:jc w:val="both"/>
        <w:rPr>
          <w:rStyle w:val="sb8d990e2"/>
          <w:rFonts w:ascii="Arial" w:hAnsi="Arial" w:cs="Arial"/>
          <w:sz w:val="22"/>
          <w:szCs w:val="22"/>
        </w:rPr>
      </w:pPr>
      <w:r w:rsidRPr="002E7169">
        <w:rPr>
          <w:rFonts w:ascii="Arial" w:hAnsi="Arial" w:cs="Arial"/>
          <w:sz w:val="22"/>
          <w:szCs w:val="22"/>
        </w:rPr>
        <w:t xml:space="preserve">19.The requirement to pay fees to civil courts cannot be regarded as a restriction on the right of access to a court that is incompatible, per se, with Article 6 § 1 of the Convention […]  It largely depends on the amount of the fees assessed in light of the particular circumstances of a given case, including the applicant’s ability to pay them, and the phase of the proceedings at which that restriction has been imposed that are material in determining whether or not a person has enjoyed his/her right of access […].  </w:t>
      </w:r>
    </w:p>
    <w:p w14:paraId="3A4C0735" w14:textId="77777777" w:rsidR="007D7FA1" w:rsidRPr="002E7169" w:rsidRDefault="007D7FA1" w:rsidP="002E7169">
      <w:pPr>
        <w:spacing w:line="360" w:lineRule="auto"/>
        <w:ind w:left="720"/>
        <w:jc w:val="both"/>
        <w:rPr>
          <w:rFonts w:ascii="Arial" w:hAnsi="Arial" w:cs="Arial"/>
          <w:sz w:val="22"/>
          <w:szCs w:val="22"/>
        </w:rPr>
      </w:pPr>
      <w:r w:rsidRPr="002E7169">
        <w:rPr>
          <w:rFonts w:ascii="Arial" w:hAnsi="Arial" w:cs="Arial"/>
          <w:sz w:val="22"/>
          <w:szCs w:val="22"/>
          <w:lang w:val="en-GB"/>
        </w:rPr>
        <w:t xml:space="preserve">The Panel notes that a requirement to provide translations of relevant documents into English </w:t>
      </w:r>
      <w:r w:rsidRPr="002E7169">
        <w:rPr>
          <w:rFonts w:ascii="Arial" w:hAnsi="Arial" w:cs="Arial"/>
          <w:sz w:val="22"/>
          <w:szCs w:val="22"/>
        </w:rPr>
        <w:t xml:space="preserve">may constitute a serious financial burden for some claimants, such as the complainant, who is an unemployed IDP and is living on modest benefit. This might undermine the claimant’s ability to seek and obtain a relief to which she would otherwise be entitled by law. It is noteworthy in this </w:t>
      </w:r>
      <w:r w:rsidRPr="002E7169">
        <w:rPr>
          <w:rFonts w:ascii="Arial" w:hAnsi="Arial" w:cs="Arial"/>
          <w:sz w:val="22"/>
          <w:szCs w:val="22"/>
        </w:rPr>
        <w:lastRenderedPageBreak/>
        <w:t>context that the provisions of Law No. 04/l-033 were amended on 29 March, 2014 to give effect to the demands of Article 5 of the Kosovo Constitution and Article 13 of the Law on the Use of Languages, which both provide that Albanian and Serbian are official languages in Kosovo, to be used in all its institutions</w:t>
      </w:r>
      <w:r w:rsidRPr="002E7169">
        <w:rPr>
          <w:rFonts w:ascii="Arial" w:hAnsi="Arial" w:cs="Arial"/>
          <w:sz w:val="22"/>
          <w:szCs w:val="22"/>
          <w:lang w:val="en-GB"/>
        </w:rPr>
        <w:t>.</w:t>
      </w:r>
    </w:p>
    <w:p w14:paraId="11BD4922" w14:textId="77777777" w:rsidR="007D7FA1" w:rsidRPr="002E7169" w:rsidRDefault="007D7FA1" w:rsidP="002E7169">
      <w:pPr>
        <w:spacing w:line="360" w:lineRule="auto"/>
        <w:ind w:left="720"/>
        <w:jc w:val="both"/>
        <w:rPr>
          <w:rFonts w:ascii="Arial" w:hAnsi="Arial" w:cs="Arial"/>
          <w:sz w:val="22"/>
          <w:szCs w:val="22"/>
          <w:lang w:val="en-GB"/>
        </w:rPr>
      </w:pPr>
      <w:r w:rsidRPr="002E7169">
        <w:rPr>
          <w:rFonts w:ascii="Arial" w:hAnsi="Arial" w:cs="Arial"/>
          <w:sz w:val="22"/>
          <w:szCs w:val="22"/>
          <w:lang w:val="en-GB"/>
        </w:rPr>
        <w:t xml:space="preserve">20.The Panel notes that the decision taken by the EULEX SCSC single judge did not end the proceedings. In the instant case, the payment of a fee or translation costs has not been placed as a condition precedent for the initiation of the proceedings before the SCSC and the requirement in the instant case has only resulted in a delay. The activity of the court is not dependent on the payment of these costs. The case itself has, therefore, proceeded and a decision is awaited regarding the merits of the complainant’s case. It follows that the decision not to exempt the complainant from costs of translation has no prejudiced her right to have access to court […]. </w:t>
      </w:r>
    </w:p>
    <w:p w14:paraId="25AB6A3B" w14:textId="77777777" w:rsidR="007D7FA1" w:rsidRPr="002E7169" w:rsidRDefault="007D7FA1" w:rsidP="002E7169">
      <w:pPr>
        <w:spacing w:line="360" w:lineRule="auto"/>
        <w:ind w:left="720"/>
        <w:jc w:val="both"/>
        <w:rPr>
          <w:rFonts w:ascii="Arial" w:hAnsi="Arial" w:cs="Arial"/>
          <w:sz w:val="22"/>
          <w:szCs w:val="22"/>
        </w:rPr>
      </w:pPr>
      <w:r w:rsidRPr="002E7169">
        <w:rPr>
          <w:rFonts w:ascii="Arial" w:hAnsi="Arial" w:cs="Arial"/>
          <w:sz w:val="22"/>
          <w:szCs w:val="22"/>
          <w:lang w:val="en-GB"/>
        </w:rPr>
        <w:t>21.The Panel notes furthermore that the legal basis for a decision on costs is provided for in Article 12 of the Law of the SCSC. Such a decision may be rendered in favour of the defendant who then may not be obliged to bear the costs. Should the complainant be held liable for the costs, she still has a legal remedy, namely, the option of filing an appeal before the SCSC trial panel. Should the complainant be ordered to pay these costs and having exhausted these procedural avenues, she can again file a new complaint before the Panel if she considers that her rights have been violated and that all relevant jurisdictional requirements have been met to seize the Panel anew. The trial panel will then decide on the final costs of the proceedings according to Article 67 of the Law.”</w:t>
      </w:r>
      <w:r w:rsidRPr="002E7169">
        <w:rPr>
          <w:rStyle w:val="FootnoteReference"/>
          <w:rFonts w:ascii="Arial" w:hAnsi="Arial" w:cs="Arial"/>
          <w:sz w:val="22"/>
          <w:szCs w:val="22"/>
          <w:lang w:val="en-GB"/>
        </w:rPr>
        <w:footnoteReference w:id="19"/>
      </w:r>
    </w:p>
    <w:p w14:paraId="0AD06EF7" w14:textId="77777777" w:rsidR="000562AC" w:rsidRPr="002E7169" w:rsidRDefault="000562AC" w:rsidP="002E7169">
      <w:pPr>
        <w:spacing w:line="360" w:lineRule="auto"/>
        <w:jc w:val="both"/>
        <w:rPr>
          <w:rFonts w:ascii="Arial" w:hAnsi="Arial" w:cs="Arial"/>
          <w:sz w:val="22"/>
          <w:szCs w:val="22"/>
          <w:lang w:val="en-GB"/>
        </w:rPr>
      </w:pPr>
    </w:p>
    <w:p w14:paraId="1B73AA22" w14:textId="7483F536" w:rsidR="00631198" w:rsidRPr="002E7169" w:rsidRDefault="00D91DC9" w:rsidP="002E7169">
      <w:pPr>
        <w:pStyle w:val="Heading3"/>
        <w:spacing w:line="360" w:lineRule="auto"/>
        <w:ind w:left="720" w:firstLine="720"/>
        <w:rPr>
          <w:rFonts w:ascii="Arial" w:hAnsi="Arial" w:cs="Arial"/>
          <w:sz w:val="22"/>
          <w:szCs w:val="22"/>
          <w:lang w:val="en-GB"/>
        </w:rPr>
      </w:pPr>
      <w:bookmarkStart w:id="7" w:name="_Toc496014018"/>
      <w:r w:rsidRPr="002E7169">
        <w:rPr>
          <w:rFonts w:ascii="Arial" w:hAnsi="Arial" w:cs="Arial"/>
          <w:sz w:val="22"/>
          <w:szCs w:val="22"/>
          <w:lang w:val="en-GB"/>
        </w:rPr>
        <w:t>2.2.4</w:t>
      </w:r>
      <w:r w:rsidRPr="002E7169">
        <w:rPr>
          <w:rFonts w:ascii="Arial" w:hAnsi="Arial" w:cs="Arial"/>
          <w:sz w:val="22"/>
          <w:szCs w:val="22"/>
          <w:lang w:val="en-GB"/>
        </w:rPr>
        <w:tab/>
      </w:r>
      <w:r w:rsidR="00BA16BB" w:rsidRPr="002E7169">
        <w:rPr>
          <w:rFonts w:ascii="Arial" w:hAnsi="Arial" w:cs="Arial"/>
          <w:sz w:val="22"/>
          <w:szCs w:val="22"/>
          <w:lang w:val="en-GB"/>
        </w:rPr>
        <w:t xml:space="preserve">EULEX </w:t>
      </w:r>
      <w:r w:rsidR="007D7FA1" w:rsidRPr="002E7169">
        <w:rPr>
          <w:rFonts w:ascii="Arial" w:hAnsi="Arial" w:cs="Arial"/>
          <w:sz w:val="22"/>
          <w:szCs w:val="22"/>
          <w:lang w:val="en-GB"/>
        </w:rPr>
        <w:t xml:space="preserve">Police and </w:t>
      </w:r>
      <w:r w:rsidR="00BA16BB" w:rsidRPr="002E7169">
        <w:rPr>
          <w:rFonts w:ascii="Arial" w:hAnsi="Arial" w:cs="Arial"/>
          <w:sz w:val="22"/>
          <w:szCs w:val="22"/>
          <w:lang w:val="en-GB"/>
        </w:rPr>
        <w:t>Prosecutors</w:t>
      </w:r>
      <w:bookmarkEnd w:id="7"/>
      <w:r w:rsidR="00BA16BB" w:rsidRPr="002E7169">
        <w:rPr>
          <w:rFonts w:ascii="Arial" w:hAnsi="Arial" w:cs="Arial"/>
          <w:sz w:val="22"/>
          <w:szCs w:val="22"/>
          <w:lang w:val="en-GB"/>
        </w:rPr>
        <w:t xml:space="preserve"> </w:t>
      </w:r>
    </w:p>
    <w:p w14:paraId="2A9CB0AE" w14:textId="2EE1B53A" w:rsidR="00674489" w:rsidRPr="002E7169" w:rsidRDefault="00674489" w:rsidP="002E7169">
      <w:pPr>
        <w:spacing w:line="360" w:lineRule="auto"/>
        <w:jc w:val="both"/>
        <w:rPr>
          <w:rFonts w:ascii="Arial" w:hAnsi="Arial" w:cs="Arial"/>
          <w:b/>
          <w:sz w:val="22"/>
          <w:szCs w:val="22"/>
          <w:lang w:val="en-GB"/>
        </w:rPr>
      </w:pPr>
      <w:r w:rsidRPr="002E7169">
        <w:rPr>
          <w:rFonts w:ascii="Arial" w:hAnsi="Arial" w:cs="Arial"/>
          <w:b/>
          <w:sz w:val="22"/>
          <w:szCs w:val="22"/>
          <w:lang w:val="en-GB"/>
        </w:rPr>
        <w:t>Competence of the Panel over the conduct of the police</w:t>
      </w:r>
    </w:p>
    <w:p w14:paraId="2F641868" w14:textId="77777777" w:rsidR="007D7FA1" w:rsidRPr="002E7169" w:rsidRDefault="007D7FA1" w:rsidP="002E7169">
      <w:pPr>
        <w:spacing w:line="360" w:lineRule="auto"/>
        <w:jc w:val="both"/>
        <w:rPr>
          <w:rFonts w:ascii="Arial" w:hAnsi="Arial" w:cs="Arial"/>
          <w:sz w:val="22"/>
          <w:szCs w:val="22"/>
          <w:lang w:val="en-GB"/>
        </w:rPr>
      </w:pPr>
      <w:r w:rsidRPr="002E7169">
        <w:rPr>
          <w:rFonts w:ascii="Arial" w:hAnsi="Arial" w:cs="Arial"/>
          <w:sz w:val="22"/>
          <w:szCs w:val="22"/>
        </w:rPr>
        <w:lastRenderedPageBreak/>
        <w:t>The actions of EULEX prosecutors and the police are part of the executive mandate of the EULEX Kosovo and therefore fall within the ambit of the Panel’s mandate.</w:t>
      </w:r>
      <w:r w:rsidRPr="002E7169">
        <w:rPr>
          <w:rStyle w:val="FootnoteReference"/>
          <w:rFonts w:ascii="Arial" w:hAnsi="Arial" w:cs="Arial"/>
          <w:sz w:val="22"/>
          <w:szCs w:val="22"/>
        </w:rPr>
        <w:footnoteReference w:id="20"/>
      </w:r>
      <w:r w:rsidRPr="002E7169">
        <w:rPr>
          <w:rFonts w:ascii="Arial" w:hAnsi="Arial" w:cs="Arial"/>
          <w:sz w:val="22"/>
          <w:szCs w:val="22"/>
        </w:rPr>
        <w:t xml:space="preserve"> </w:t>
      </w:r>
      <w:r w:rsidRPr="002E7169">
        <w:rPr>
          <w:rFonts w:ascii="Arial" w:hAnsi="Arial" w:cs="Arial"/>
          <w:sz w:val="22"/>
          <w:szCs w:val="22"/>
          <w:lang w:val="en-GB"/>
        </w:rPr>
        <w:t xml:space="preserve">The Panel has thus determined that a core aspect of its jurisdiction pertains to the activities of EULEX police officers: </w:t>
      </w:r>
    </w:p>
    <w:p w14:paraId="2E0926CC" w14:textId="77777777" w:rsidR="007D7FA1" w:rsidRPr="002E7169" w:rsidRDefault="007D7FA1" w:rsidP="002E7169">
      <w:pPr>
        <w:spacing w:line="360" w:lineRule="auto"/>
        <w:ind w:left="720"/>
        <w:jc w:val="both"/>
        <w:rPr>
          <w:rFonts w:ascii="Arial" w:hAnsi="Arial" w:cs="Arial"/>
          <w:sz w:val="22"/>
          <w:szCs w:val="22"/>
          <w:lang w:val="en-GB"/>
        </w:rPr>
      </w:pPr>
    </w:p>
    <w:p w14:paraId="302231DC" w14:textId="77777777" w:rsidR="007D7FA1" w:rsidRPr="002E7169" w:rsidRDefault="007D7FA1" w:rsidP="002E7169">
      <w:pPr>
        <w:spacing w:line="360" w:lineRule="auto"/>
        <w:ind w:left="720"/>
        <w:jc w:val="both"/>
        <w:rPr>
          <w:rFonts w:ascii="Arial" w:hAnsi="Arial" w:cs="Arial"/>
          <w:sz w:val="22"/>
          <w:szCs w:val="22"/>
          <w:lang w:val="en-GB"/>
        </w:rPr>
      </w:pPr>
      <w:r w:rsidRPr="002E7169">
        <w:rPr>
          <w:rFonts w:ascii="Arial" w:hAnsi="Arial" w:cs="Arial"/>
          <w:sz w:val="22"/>
          <w:szCs w:val="22"/>
        </w:rPr>
        <w:t>“[…]</w:t>
      </w:r>
      <w:r w:rsidRPr="002E7169">
        <w:rPr>
          <w:rFonts w:ascii="Arial" w:hAnsi="Arial" w:cs="Arial"/>
          <w:sz w:val="22"/>
          <w:szCs w:val="22"/>
          <w:lang w:val="en-GB"/>
        </w:rPr>
        <w:t xml:space="preserve"> the actions taken by the EULEX Police during the arrest of the complainant’s son and the subsequent house search on 23 September 2009 might have been deemed by the Panel as falling within the executive mandate of EULEX.”</w:t>
      </w:r>
      <w:r w:rsidRPr="002E7169">
        <w:rPr>
          <w:rStyle w:val="FootnoteReference"/>
          <w:rFonts w:ascii="Arial" w:hAnsi="Arial" w:cs="Arial"/>
          <w:sz w:val="22"/>
          <w:szCs w:val="22"/>
          <w:lang w:val="en-GB"/>
        </w:rPr>
        <w:footnoteReference w:id="21"/>
      </w:r>
      <w:r w:rsidRPr="002E7169">
        <w:rPr>
          <w:rFonts w:ascii="Arial" w:hAnsi="Arial" w:cs="Arial"/>
          <w:sz w:val="22"/>
          <w:szCs w:val="22"/>
          <w:lang w:val="en-GB"/>
        </w:rPr>
        <w:t xml:space="preserve"> </w:t>
      </w:r>
    </w:p>
    <w:p w14:paraId="2ADF7EEB" w14:textId="77777777" w:rsidR="007D7FA1" w:rsidRPr="002E7169" w:rsidRDefault="007D7FA1" w:rsidP="002E7169">
      <w:pPr>
        <w:spacing w:line="360" w:lineRule="auto"/>
        <w:jc w:val="both"/>
        <w:rPr>
          <w:rFonts w:ascii="Arial" w:hAnsi="Arial" w:cs="Arial"/>
          <w:sz w:val="22"/>
          <w:szCs w:val="22"/>
          <w:lang w:val="en-GB"/>
        </w:rPr>
      </w:pPr>
    </w:p>
    <w:p w14:paraId="5B14C779" w14:textId="77777777" w:rsidR="007D7FA1" w:rsidRPr="002E7169" w:rsidRDefault="007D7FA1" w:rsidP="002E7169">
      <w:pPr>
        <w:spacing w:line="360" w:lineRule="auto"/>
        <w:jc w:val="both"/>
        <w:rPr>
          <w:rFonts w:ascii="Arial" w:hAnsi="Arial" w:cs="Arial"/>
          <w:sz w:val="22"/>
          <w:szCs w:val="22"/>
          <w:lang w:val="en-GB"/>
        </w:rPr>
      </w:pPr>
      <w:r w:rsidRPr="002E7169">
        <w:rPr>
          <w:rFonts w:ascii="Arial" w:hAnsi="Arial" w:cs="Arial"/>
          <w:sz w:val="22"/>
          <w:szCs w:val="22"/>
          <w:lang w:val="en-GB"/>
        </w:rPr>
        <w:t>The Panel’s jurisdiction covers in principle all action and measures taken by the police, such as arrests, searches, the monitoring and overseeing of public events as well as investigative activities carried out by the police.</w:t>
      </w:r>
      <w:r w:rsidRPr="002E7169">
        <w:rPr>
          <w:rStyle w:val="FootnoteReference"/>
          <w:rFonts w:ascii="Arial" w:hAnsi="Arial" w:cs="Arial"/>
          <w:sz w:val="22"/>
          <w:szCs w:val="22"/>
          <w:lang w:val="en-GB"/>
        </w:rPr>
        <w:footnoteReference w:id="22"/>
      </w:r>
    </w:p>
    <w:p w14:paraId="3F014941" w14:textId="77777777" w:rsidR="007D7FA1" w:rsidRPr="002E7169" w:rsidRDefault="007D7FA1" w:rsidP="002E7169">
      <w:pPr>
        <w:spacing w:line="360" w:lineRule="auto"/>
        <w:jc w:val="both"/>
        <w:rPr>
          <w:rFonts w:ascii="Arial" w:hAnsi="Arial" w:cs="Arial"/>
          <w:sz w:val="22"/>
          <w:szCs w:val="22"/>
          <w:lang w:val="en-GB"/>
        </w:rPr>
      </w:pPr>
    </w:p>
    <w:p w14:paraId="1BBBB278" w14:textId="00C0A21E" w:rsidR="00674489" w:rsidRPr="002E7169" w:rsidRDefault="00674489" w:rsidP="002E7169">
      <w:pPr>
        <w:spacing w:line="360" w:lineRule="auto"/>
        <w:jc w:val="both"/>
        <w:rPr>
          <w:rFonts w:ascii="Arial" w:hAnsi="Arial" w:cs="Arial"/>
          <w:b/>
          <w:sz w:val="22"/>
          <w:szCs w:val="22"/>
          <w:lang w:val="en-GB"/>
        </w:rPr>
      </w:pPr>
      <w:r w:rsidRPr="002E7169">
        <w:rPr>
          <w:rFonts w:ascii="Arial" w:hAnsi="Arial" w:cs="Arial"/>
          <w:b/>
          <w:sz w:val="22"/>
          <w:szCs w:val="22"/>
          <w:lang w:val="en-GB"/>
        </w:rPr>
        <w:t>Competence of the Panel over the conduct of EULEX prosecutors</w:t>
      </w:r>
    </w:p>
    <w:p w14:paraId="7F0E3E74" w14:textId="77050F80" w:rsidR="007D7FA1" w:rsidRPr="002E7169" w:rsidRDefault="007D7FA1" w:rsidP="002E7169">
      <w:pPr>
        <w:pStyle w:val="ColorfulShading-Accent31"/>
        <w:spacing w:line="360" w:lineRule="auto"/>
        <w:ind w:left="0"/>
        <w:contextualSpacing/>
        <w:jc w:val="both"/>
        <w:rPr>
          <w:rFonts w:ascii="Arial" w:hAnsi="Arial" w:cs="Arial"/>
          <w:sz w:val="22"/>
          <w:szCs w:val="22"/>
        </w:rPr>
      </w:pPr>
      <w:r w:rsidRPr="002E7169">
        <w:rPr>
          <w:rFonts w:ascii="Arial" w:hAnsi="Arial" w:cs="Arial"/>
          <w:sz w:val="22"/>
          <w:szCs w:val="22"/>
          <w:lang w:val="en-GB"/>
        </w:rPr>
        <w:t xml:space="preserve">Regarding the actions of EULEX prosecutors, investigative and prosecutorial activities – at least up a certain point – come within the scope of the Panel’s reviewing authority. </w:t>
      </w:r>
      <w:r w:rsidR="00006DA6" w:rsidRPr="002E7169">
        <w:rPr>
          <w:rFonts w:ascii="Arial" w:hAnsi="Arial" w:cs="Arial"/>
          <w:sz w:val="22"/>
          <w:szCs w:val="22"/>
        </w:rPr>
        <w:t>As outlined above, t</w:t>
      </w:r>
      <w:r w:rsidRPr="002E7169">
        <w:rPr>
          <w:rFonts w:ascii="Arial" w:hAnsi="Arial" w:cs="Arial"/>
          <w:sz w:val="22"/>
          <w:szCs w:val="22"/>
        </w:rPr>
        <w:t>he Panel has recalled that:</w:t>
      </w:r>
    </w:p>
    <w:p w14:paraId="607EF6BA" w14:textId="77777777" w:rsidR="007D7FA1" w:rsidRPr="002E7169" w:rsidRDefault="007D7FA1" w:rsidP="002E7169">
      <w:pPr>
        <w:pStyle w:val="ColorfulShading-Accent31"/>
        <w:spacing w:line="360" w:lineRule="auto"/>
        <w:contextualSpacing/>
        <w:jc w:val="both"/>
        <w:rPr>
          <w:rFonts w:ascii="Arial" w:hAnsi="Arial" w:cs="Arial"/>
          <w:sz w:val="22"/>
          <w:szCs w:val="22"/>
          <w:lang w:val="en-GB"/>
        </w:rPr>
      </w:pPr>
    </w:p>
    <w:p w14:paraId="01CC30E4" w14:textId="77777777" w:rsidR="007D7FA1" w:rsidRPr="002E7169" w:rsidRDefault="007D7FA1" w:rsidP="002E7169">
      <w:pPr>
        <w:pStyle w:val="ColorfulShading-Accent31"/>
        <w:spacing w:line="360" w:lineRule="auto"/>
        <w:contextualSpacing/>
        <w:jc w:val="both"/>
        <w:rPr>
          <w:rFonts w:ascii="Arial" w:hAnsi="Arial" w:cs="Arial"/>
          <w:color w:val="000000"/>
          <w:sz w:val="22"/>
          <w:szCs w:val="22"/>
          <w:lang w:val="en-GB"/>
        </w:rPr>
      </w:pPr>
      <w:r w:rsidRPr="002E7169">
        <w:rPr>
          <w:rFonts w:ascii="Arial" w:hAnsi="Arial" w:cs="Arial"/>
          <w:color w:val="000000"/>
          <w:sz w:val="22"/>
          <w:szCs w:val="22"/>
          <w:lang w:val="en-GB"/>
        </w:rPr>
        <w:t>“[T]he actions of the EULEX Prosecutors are part of the executive mandate of the EULEX Kosovo and therefore fall in principle within the ambit of the Panel’s mandate […]  It sees no reason here to depart from this view.”</w:t>
      </w:r>
      <w:r w:rsidRPr="002E7169">
        <w:rPr>
          <w:rStyle w:val="FootnoteReference"/>
          <w:rFonts w:ascii="Arial" w:hAnsi="Arial" w:cs="Arial"/>
          <w:color w:val="000000"/>
          <w:sz w:val="22"/>
          <w:szCs w:val="22"/>
          <w:lang w:val="en-GB"/>
        </w:rPr>
        <w:footnoteReference w:id="23"/>
      </w:r>
      <w:r w:rsidRPr="002E7169">
        <w:rPr>
          <w:rFonts w:ascii="Arial" w:hAnsi="Arial" w:cs="Arial"/>
          <w:color w:val="000000"/>
          <w:sz w:val="22"/>
          <w:szCs w:val="22"/>
          <w:lang w:val="en-GB"/>
        </w:rPr>
        <w:t xml:space="preserve"> </w:t>
      </w:r>
    </w:p>
    <w:p w14:paraId="117C3CD9" w14:textId="77777777" w:rsidR="007D7FA1" w:rsidRPr="002E7169" w:rsidRDefault="007D7FA1" w:rsidP="002E7169">
      <w:pPr>
        <w:pStyle w:val="ColorfulShading-Accent31"/>
        <w:spacing w:line="360" w:lineRule="auto"/>
        <w:ind w:left="0"/>
        <w:contextualSpacing/>
        <w:jc w:val="both"/>
        <w:rPr>
          <w:rFonts w:ascii="Arial" w:hAnsi="Arial" w:cs="Arial"/>
          <w:sz w:val="22"/>
          <w:szCs w:val="22"/>
          <w:lang w:val="en-GB"/>
        </w:rPr>
      </w:pPr>
    </w:p>
    <w:p w14:paraId="66371624" w14:textId="77777777" w:rsidR="007D7FA1" w:rsidRPr="002E7169" w:rsidRDefault="007D7FA1" w:rsidP="002E7169">
      <w:pPr>
        <w:pStyle w:val="ColorfulShading-Accent31"/>
        <w:spacing w:line="360" w:lineRule="auto"/>
        <w:ind w:left="0"/>
        <w:contextualSpacing/>
        <w:jc w:val="both"/>
        <w:rPr>
          <w:rFonts w:ascii="Arial" w:hAnsi="Arial" w:cs="Arial"/>
          <w:sz w:val="22"/>
          <w:szCs w:val="22"/>
          <w:lang w:val="en-GB"/>
        </w:rPr>
      </w:pPr>
      <w:r w:rsidRPr="002E7169">
        <w:rPr>
          <w:rFonts w:ascii="Arial" w:hAnsi="Arial" w:cs="Arial"/>
          <w:sz w:val="22"/>
          <w:szCs w:val="22"/>
          <w:lang w:val="en-GB"/>
        </w:rPr>
        <w:t>This is because investigative and initial prosecutorial activities are non-judicial in character. The Panel has explained that:</w:t>
      </w:r>
    </w:p>
    <w:p w14:paraId="6A595498" w14:textId="77777777" w:rsidR="007D7FA1" w:rsidRPr="002E7169" w:rsidRDefault="007D7FA1" w:rsidP="002E7169">
      <w:pPr>
        <w:pStyle w:val="ColorfulShading-Accent31"/>
        <w:spacing w:line="360" w:lineRule="auto"/>
        <w:ind w:left="0"/>
        <w:contextualSpacing/>
        <w:jc w:val="both"/>
        <w:rPr>
          <w:rFonts w:ascii="Arial" w:hAnsi="Arial" w:cs="Arial"/>
          <w:sz w:val="22"/>
          <w:szCs w:val="22"/>
          <w:lang w:val="en-GB"/>
        </w:rPr>
      </w:pPr>
    </w:p>
    <w:p w14:paraId="000F2C2E" w14:textId="77777777" w:rsidR="007D7FA1" w:rsidRPr="002E7169" w:rsidRDefault="007D7FA1" w:rsidP="002E7169">
      <w:pPr>
        <w:pStyle w:val="ColorfulShading-Accent31"/>
        <w:spacing w:line="360" w:lineRule="auto"/>
        <w:contextualSpacing/>
        <w:jc w:val="both"/>
        <w:rPr>
          <w:rFonts w:ascii="Arial" w:hAnsi="Arial" w:cs="Arial"/>
          <w:sz w:val="22"/>
          <w:szCs w:val="22"/>
        </w:rPr>
      </w:pPr>
      <w:r w:rsidRPr="002E7169">
        <w:rPr>
          <w:rFonts w:ascii="Arial" w:hAnsi="Arial" w:cs="Arial"/>
          <w:sz w:val="22"/>
          <w:szCs w:val="22"/>
        </w:rPr>
        <w:t>“16. Contrariwise, the</w:t>
      </w:r>
      <w:r w:rsidRPr="002E7169">
        <w:rPr>
          <w:rFonts w:ascii="Arial" w:hAnsi="Arial" w:cs="Arial"/>
          <w:sz w:val="22"/>
          <w:szCs w:val="22"/>
          <w:lang w:val="en-GB"/>
        </w:rPr>
        <w:t xml:space="preserve"> Panel is of the opinion, </w:t>
      </w:r>
      <w:r w:rsidRPr="002E7169">
        <w:rPr>
          <w:rFonts w:ascii="Arial" w:hAnsi="Arial" w:cs="Arial"/>
          <w:sz w:val="22"/>
          <w:szCs w:val="22"/>
        </w:rPr>
        <w:t xml:space="preserve">that actions or omissions by the prosecutors during the investigative phase of criminal proceedings may not be considered as being made in the context of “judicial proceedings” and that “the </w:t>
      </w:r>
      <w:r w:rsidRPr="002E7169">
        <w:rPr>
          <w:rFonts w:ascii="Arial" w:hAnsi="Arial" w:cs="Arial"/>
          <w:sz w:val="22"/>
          <w:szCs w:val="22"/>
        </w:rPr>
        <w:lastRenderedPageBreak/>
        <w:t xml:space="preserve">actions and omissions of EULEX prosecutors […] </w:t>
      </w:r>
      <w:r w:rsidRPr="002E7169" w:rsidDel="004B4B30">
        <w:rPr>
          <w:rFonts w:ascii="Arial" w:hAnsi="Arial" w:cs="Arial"/>
          <w:sz w:val="22"/>
          <w:szCs w:val="22"/>
        </w:rPr>
        <w:t xml:space="preserve">before the filing of indictment </w:t>
      </w:r>
      <w:r w:rsidRPr="002E7169">
        <w:rPr>
          <w:rFonts w:ascii="Arial" w:hAnsi="Arial" w:cs="Arial"/>
          <w:sz w:val="22"/>
          <w:szCs w:val="22"/>
        </w:rPr>
        <w:t>may fall within the ambit of the executive mandate of EULEX” […].”</w:t>
      </w:r>
      <w:r w:rsidRPr="002E7169">
        <w:rPr>
          <w:rStyle w:val="FootnoteReference"/>
          <w:rFonts w:ascii="Arial" w:hAnsi="Arial" w:cs="Arial"/>
          <w:sz w:val="22"/>
          <w:szCs w:val="22"/>
        </w:rPr>
        <w:footnoteReference w:id="24"/>
      </w:r>
      <w:r w:rsidRPr="002E7169">
        <w:rPr>
          <w:rFonts w:ascii="Arial" w:hAnsi="Arial" w:cs="Arial"/>
          <w:sz w:val="22"/>
          <w:szCs w:val="22"/>
        </w:rPr>
        <w:t xml:space="preserve"> </w:t>
      </w:r>
    </w:p>
    <w:p w14:paraId="611E95D5" w14:textId="77777777" w:rsidR="007D7FA1" w:rsidRPr="002E7169" w:rsidRDefault="007D7FA1" w:rsidP="002E7169">
      <w:pPr>
        <w:pStyle w:val="ColorfulShading-Accent31"/>
        <w:spacing w:line="360" w:lineRule="auto"/>
        <w:ind w:left="0"/>
        <w:contextualSpacing/>
        <w:jc w:val="both"/>
        <w:rPr>
          <w:rFonts w:ascii="Arial" w:hAnsi="Arial" w:cs="Arial"/>
          <w:sz w:val="22"/>
          <w:szCs w:val="22"/>
        </w:rPr>
      </w:pPr>
    </w:p>
    <w:p w14:paraId="6D670443" w14:textId="77777777" w:rsidR="007D7FA1" w:rsidRPr="002E7169" w:rsidRDefault="007D7FA1" w:rsidP="002E7169">
      <w:pPr>
        <w:pStyle w:val="ColorfulShading-Accent31"/>
        <w:spacing w:line="360" w:lineRule="auto"/>
        <w:ind w:left="0"/>
        <w:contextualSpacing/>
        <w:jc w:val="both"/>
        <w:rPr>
          <w:rFonts w:ascii="Arial" w:hAnsi="Arial" w:cs="Arial"/>
          <w:sz w:val="22"/>
          <w:szCs w:val="22"/>
          <w:lang w:val="en-GB"/>
        </w:rPr>
      </w:pPr>
      <w:r w:rsidRPr="002E7169">
        <w:rPr>
          <w:rFonts w:ascii="Arial" w:hAnsi="Arial" w:cs="Arial"/>
          <w:sz w:val="22"/>
          <w:szCs w:val="22"/>
        </w:rPr>
        <w:t xml:space="preserve">In another case, the </w:t>
      </w:r>
      <w:r w:rsidRPr="002E7169">
        <w:rPr>
          <w:rFonts w:ascii="Arial" w:hAnsi="Arial" w:cs="Arial"/>
          <w:sz w:val="22"/>
          <w:szCs w:val="22"/>
          <w:lang w:val="en-GB"/>
        </w:rPr>
        <w:t>Panel made a thorough and explicit assessment of the nature of investigations and prosecutorial activities in relation to its mandate and concluded as follows:</w:t>
      </w:r>
    </w:p>
    <w:p w14:paraId="241B7DCB" w14:textId="77777777" w:rsidR="007D7FA1" w:rsidRPr="002E7169" w:rsidRDefault="007D7FA1" w:rsidP="002E7169">
      <w:pPr>
        <w:pStyle w:val="ColorfulShading-Accent31"/>
        <w:spacing w:line="360" w:lineRule="auto"/>
        <w:contextualSpacing/>
        <w:jc w:val="both"/>
        <w:rPr>
          <w:rFonts w:ascii="Arial" w:hAnsi="Arial" w:cs="Arial"/>
          <w:sz w:val="22"/>
          <w:szCs w:val="22"/>
          <w:lang w:val="en-GB"/>
        </w:rPr>
      </w:pPr>
    </w:p>
    <w:p w14:paraId="4DB5AD89" w14:textId="3F535B1D" w:rsidR="007D7FA1" w:rsidRPr="002E7169" w:rsidRDefault="007D7FA1" w:rsidP="002E7169">
      <w:pPr>
        <w:spacing w:line="360" w:lineRule="auto"/>
        <w:ind w:left="720"/>
        <w:jc w:val="both"/>
        <w:rPr>
          <w:rFonts w:ascii="Arial" w:hAnsi="Arial" w:cs="Arial"/>
          <w:color w:val="000000"/>
          <w:sz w:val="22"/>
          <w:szCs w:val="22"/>
        </w:rPr>
      </w:pPr>
      <w:r w:rsidRPr="002E7169">
        <w:rPr>
          <w:rFonts w:ascii="Arial" w:hAnsi="Arial" w:cs="Arial"/>
          <w:color w:val="000000"/>
          <w:sz w:val="22"/>
          <w:szCs w:val="22"/>
          <w:lang w:val="en-GB"/>
        </w:rPr>
        <w:t>“</w:t>
      </w:r>
      <w:r w:rsidRPr="002E7169">
        <w:rPr>
          <w:rFonts w:ascii="Arial" w:hAnsi="Arial" w:cs="Arial"/>
          <w:color w:val="000000"/>
          <w:sz w:val="22"/>
          <w:szCs w:val="22"/>
        </w:rPr>
        <w:t>54.</w:t>
      </w:r>
      <w:r w:rsidR="00867E43" w:rsidRPr="002E7169">
        <w:rPr>
          <w:rFonts w:ascii="Arial" w:hAnsi="Arial" w:cs="Arial"/>
          <w:color w:val="000000"/>
          <w:sz w:val="22"/>
          <w:szCs w:val="22"/>
        </w:rPr>
        <w:t xml:space="preserve"> </w:t>
      </w:r>
      <w:r w:rsidRPr="002E7169">
        <w:rPr>
          <w:rFonts w:ascii="Arial" w:hAnsi="Arial" w:cs="Arial"/>
          <w:color w:val="000000"/>
          <w:sz w:val="22"/>
          <w:szCs w:val="22"/>
        </w:rPr>
        <w:t>Judicial proceedings to which the guarantees derived from Article 6 of the Convention apply are to be understood as those being conducted by an independent and impartial tribunal within the meaning of this provision.</w:t>
      </w:r>
    </w:p>
    <w:p w14:paraId="4DCF43F9" w14:textId="77777777" w:rsidR="007D7FA1" w:rsidRPr="002E7169" w:rsidRDefault="007D7FA1" w:rsidP="002E7169">
      <w:pPr>
        <w:spacing w:line="360" w:lineRule="auto"/>
        <w:ind w:left="720"/>
        <w:jc w:val="both"/>
        <w:rPr>
          <w:rFonts w:ascii="Arial" w:hAnsi="Arial" w:cs="Arial"/>
          <w:color w:val="000000"/>
          <w:sz w:val="22"/>
          <w:szCs w:val="22"/>
        </w:rPr>
      </w:pPr>
      <w:r w:rsidRPr="002E7169">
        <w:rPr>
          <w:rFonts w:ascii="Arial" w:hAnsi="Arial" w:cs="Arial"/>
          <w:color w:val="000000"/>
          <w:sz w:val="22"/>
          <w:szCs w:val="22"/>
        </w:rPr>
        <w:t xml:space="preserve">55.In this connection, the Panel notes that the competences of EULEX prosecutors are mainly defined in the “Law on Jurisdiction” as well as in the “Law on the Kosovo Special Prosecutors Office (SPRK)”. </w:t>
      </w:r>
    </w:p>
    <w:p w14:paraId="236F942E" w14:textId="77777777" w:rsidR="007D7FA1" w:rsidRPr="002E7169" w:rsidRDefault="007D7FA1" w:rsidP="002E7169">
      <w:pPr>
        <w:spacing w:line="360" w:lineRule="auto"/>
        <w:ind w:left="720"/>
        <w:jc w:val="both"/>
        <w:rPr>
          <w:rFonts w:ascii="Arial" w:hAnsi="Arial" w:cs="Arial"/>
          <w:color w:val="000000"/>
          <w:sz w:val="22"/>
          <w:szCs w:val="22"/>
        </w:rPr>
      </w:pPr>
      <w:r w:rsidRPr="002E7169">
        <w:rPr>
          <w:rFonts w:ascii="Arial" w:hAnsi="Arial" w:cs="Arial"/>
          <w:color w:val="000000"/>
          <w:sz w:val="22"/>
          <w:szCs w:val="22"/>
        </w:rPr>
        <w:t xml:space="preserve">56.The EULEX prosecutors, in addition to performing monitoring, mentoring and advising activities of the EULEX Rule of Law Mission in Kosovo, exercise executive powers by conducting criminal investigations and by prosecuting new and pending cases, as defined in Articles 7 and 8 of the Law on Jurisdiction (see paragraph 37 above).  </w:t>
      </w:r>
    </w:p>
    <w:p w14:paraId="0A9471B2" w14:textId="77777777" w:rsidR="007D7FA1" w:rsidRPr="002E7169" w:rsidRDefault="007D7FA1" w:rsidP="002E7169">
      <w:pPr>
        <w:spacing w:line="360" w:lineRule="auto"/>
        <w:ind w:left="720"/>
        <w:jc w:val="both"/>
        <w:rPr>
          <w:rFonts w:ascii="Arial" w:hAnsi="Arial" w:cs="Arial"/>
          <w:color w:val="000000"/>
          <w:sz w:val="22"/>
          <w:szCs w:val="22"/>
        </w:rPr>
      </w:pPr>
      <w:r w:rsidRPr="002E7169">
        <w:rPr>
          <w:rFonts w:ascii="Arial" w:hAnsi="Arial" w:cs="Arial"/>
          <w:color w:val="000000"/>
          <w:sz w:val="22"/>
          <w:szCs w:val="22"/>
        </w:rPr>
        <w:t xml:space="preserve">57.Furthermore, under the PCPCK, Article 221, a criminal investigation shall be initiated by a public prosecutor’s decision. The six (6) month investigation period begins to run from the date of such decision.  The said ruling is sent to the pre-trial judge who is, in accordance with Article 225 of the PCPCK, empowered to grant an extension of that period, if requested by the prosecutor. Persons under investigation are not under indictment, nor are they necessarily informed of such investigation. </w:t>
      </w:r>
    </w:p>
    <w:p w14:paraId="7BDA69FD" w14:textId="77777777" w:rsidR="007D7FA1" w:rsidRPr="002E7169" w:rsidRDefault="007D7FA1" w:rsidP="002E7169">
      <w:pPr>
        <w:spacing w:line="360" w:lineRule="auto"/>
        <w:ind w:left="720"/>
        <w:jc w:val="both"/>
        <w:rPr>
          <w:rFonts w:ascii="Arial" w:hAnsi="Arial" w:cs="Arial"/>
          <w:color w:val="000000"/>
          <w:sz w:val="22"/>
          <w:szCs w:val="22"/>
        </w:rPr>
      </w:pPr>
      <w:r w:rsidRPr="002E7169">
        <w:rPr>
          <w:rFonts w:ascii="Arial" w:hAnsi="Arial" w:cs="Arial"/>
          <w:color w:val="000000"/>
          <w:sz w:val="22"/>
          <w:szCs w:val="22"/>
        </w:rPr>
        <w:t xml:space="preserve">58.After the investigation has been concluded, the prosecutor decides whether to continue the proceedings by filing an indictment with the court of first instance or to discontinue the investigation.  </w:t>
      </w:r>
    </w:p>
    <w:p w14:paraId="05211530" w14:textId="1E06B505" w:rsidR="007D7FA1" w:rsidRPr="002E7169" w:rsidRDefault="007D7FA1" w:rsidP="002E7169">
      <w:pPr>
        <w:spacing w:line="360" w:lineRule="auto"/>
        <w:ind w:left="720"/>
        <w:jc w:val="both"/>
        <w:rPr>
          <w:rFonts w:ascii="Arial" w:hAnsi="Arial" w:cs="Arial"/>
          <w:sz w:val="22"/>
          <w:szCs w:val="22"/>
        </w:rPr>
      </w:pPr>
      <w:r w:rsidRPr="002E7169">
        <w:rPr>
          <w:rFonts w:ascii="Arial" w:hAnsi="Arial" w:cs="Arial"/>
          <w:color w:val="000000"/>
          <w:sz w:val="22"/>
          <w:szCs w:val="22"/>
        </w:rPr>
        <w:t>59.T</w:t>
      </w:r>
      <w:r w:rsidRPr="002E7169">
        <w:rPr>
          <w:rFonts w:ascii="Arial" w:hAnsi="Arial" w:cs="Arial"/>
          <w:sz w:val="22"/>
          <w:szCs w:val="22"/>
        </w:rPr>
        <w:t xml:space="preserve">he Panel emphasizes that on many occasions the European Court of Human Rights (hereafter “the Court”) has held that a public prosecutor cannot be regarded as an officer exercising “judicial power” within the meaning of </w:t>
      </w:r>
      <w:r w:rsidRPr="002E7169">
        <w:rPr>
          <w:rFonts w:ascii="Arial" w:hAnsi="Arial" w:cs="Arial"/>
          <w:sz w:val="22"/>
          <w:szCs w:val="22"/>
        </w:rPr>
        <w:lastRenderedPageBreak/>
        <w:t>Article 5 § 3 of the Convention […]. Even less so can a public prosecutor be considered to be endowed with the judicial attributes of “indep</w:t>
      </w:r>
      <w:r w:rsidR="002738FA" w:rsidRPr="002E7169">
        <w:rPr>
          <w:rFonts w:ascii="Arial" w:hAnsi="Arial" w:cs="Arial"/>
          <w:sz w:val="22"/>
          <w:szCs w:val="22"/>
        </w:rPr>
        <w:t>endence” and “impartiality” […]</w:t>
      </w:r>
      <w:r w:rsidRPr="002E7169">
        <w:rPr>
          <w:rFonts w:ascii="Arial" w:hAnsi="Arial" w:cs="Arial"/>
          <w:sz w:val="22"/>
          <w:szCs w:val="22"/>
        </w:rPr>
        <w:t>.</w:t>
      </w:r>
    </w:p>
    <w:p w14:paraId="613672BB" w14:textId="77777777" w:rsidR="007D7FA1" w:rsidRPr="002E7169" w:rsidRDefault="007D7FA1" w:rsidP="002E7169">
      <w:pPr>
        <w:spacing w:line="360" w:lineRule="auto"/>
        <w:ind w:left="720"/>
        <w:jc w:val="both"/>
        <w:rPr>
          <w:rFonts w:ascii="Arial" w:hAnsi="Arial" w:cs="Arial"/>
          <w:color w:val="000000"/>
          <w:sz w:val="22"/>
          <w:szCs w:val="22"/>
        </w:rPr>
      </w:pPr>
      <w:r w:rsidRPr="002E7169">
        <w:rPr>
          <w:rFonts w:ascii="Arial" w:hAnsi="Arial" w:cs="Arial"/>
          <w:color w:val="000000"/>
          <w:sz w:val="22"/>
          <w:szCs w:val="22"/>
        </w:rPr>
        <w:t xml:space="preserve">60.As the Court has pointed out, the legal framework within which interventions of public prosecutors are taken lack the guarantees of judicial procedure (such as, inter alia, participation of the persons concerned, the holding of hearings, publicity, adversarial character, equality of arms between the parties etc). The prosecutors make decisions on their own motion and enjoy considerable discretion in determining the course of action to be pursued, but they are normally hierarchically subordinated to a higher prosecutor. </w:t>
      </w:r>
    </w:p>
    <w:p w14:paraId="00DC54CB" w14:textId="77777777" w:rsidR="007D7FA1" w:rsidRPr="002E7169" w:rsidRDefault="007D7FA1" w:rsidP="002E7169">
      <w:pPr>
        <w:spacing w:line="360" w:lineRule="auto"/>
        <w:ind w:left="720"/>
        <w:jc w:val="both"/>
        <w:rPr>
          <w:rFonts w:ascii="Arial" w:hAnsi="Arial" w:cs="Arial"/>
          <w:color w:val="000000"/>
          <w:sz w:val="22"/>
          <w:szCs w:val="22"/>
        </w:rPr>
      </w:pPr>
      <w:r w:rsidRPr="002E7169">
        <w:rPr>
          <w:rFonts w:ascii="Arial" w:hAnsi="Arial" w:cs="Arial"/>
          <w:color w:val="000000"/>
          <w:sz w:val="22"/>
          <w:szCs w:val="22"/>
        </w:rPr>
        <w:t xml:space="preserve">61.The mere fact that appeals can be made against the prosecutors’ decisions to a hierarchically higher prosecutor cannot neither compensate for the lack of judicial guarantees nor be identified with such guarantees. Furthermore, the fact that the prosecutors act as guardians of the public interest cannot be regarded as conferring on them a judicial status of independent and impartial actors […].  </w:t>
      </w:r>
    </w:p>
    <w:p w14:paraId="1FAD8F98" w14:textId="77777777" w:rsidR="007D7FA1" w:rsidRPr="002E7169" w:rsidRDefault="007D7FA1" w:rsidP="002E7169">
      <w:pPr>
        <w:spacing w:line="360" w:lineRule="auto"/>
        <w:ind w:left="720"/>
        <w:jc w:val="both"/>
        <w:rPr>
          <w:rFonts w:ascii="Arial" w:hAnsi="Arial" w:cs="Arial"/>
          <w:color w:val="000000"/>
          <w:sz w:val="22"/>
          <w:szCs w:val="22"/>
        </w:rPr>
      </w:pPr>
      <w:r w:rsidRPr="002E7169">
        <w:rPr>
          <w:rFonts w:ascii="Arial" w:hAnsi="Arial" w:cs="Arial"/>
          <w:color w:val="000000"/>
          <w:sz w:val="22"/>
          <w:szCs w:val="22"/>
        </w:rPr>
        <w:t xml:space="preserve">62.The Panel observes that no arguments have been submitted to it in the present case to demonstrate that the institutional and procedural position of EULEX prosecutors is such as to confer on them an independent judicial status, comparable to that enjoyed by courts. </w:t>
      </w:r>
    </w:p>
    <w:p w14:paraId="606A7543" w14:textId="77777777" w:rsidR="007D7FA1" w:rsidRPr="002E7169" w:rsidRDefault="007D7FA1" w:rsidP="002E7169">
      <w:pPr>
        <w:spacing w:line="360" w:lineRule="auto"/>
        <w:ind w:left="720"/>
        <w:jc w:val="both"/>
        <w:rPr>
          <w:rFonts w:ascii="Arial" w:hAnsi="Arial" w:cs="Arial"/>
          <w:color w:val="000000"/>
          <w:sz w:val="22"/>
          <w:szCs w:val="22"/>
        </w:rPr>
      </w:pPr>
      <w:r w:rsidRPr="002E7169">
        <w:rPr>
          <w:rFonts w:ascii="Arial" w:hAnsi="Arial" w:cs="Arial"/>
          <w:color w:val="000000"/>
          <w:sz w:val="22"/>
          <w:szCs w:val="22"/>
        </w:rPr>
        <w:t>63.Therefore the actions or omissions by the prosecutors during the investigative phase of criminal proceedings may not be considered as being made in the context of “judicial proceedings”.</w:t>
      </w:r>
    </w:p>
    <w:p w14:paraId="6F2175C6" w14:textId="77777777" w:rsidR="007D7FA1" w:rsidRPr="002E7169" w:rsidRDefault="007D7FA1" w:rsidP="002E7169">
      <w:pPr>
        <w:spacing w:line="360" w:lineRule="auto"/>
        <w:ind w:left="720"/>
        <w:jc w:val="both"/>
        <w:rPr>
          <w:rFonts w:ascii="Arial" w:hAnsi="Arial" w:cs="Arial"/>
          <w:color w:val="000000"/>
          <w:sz w:val="22"/>
          <w:szCs w:val="22"/>
        </w:rPr>
      </w:pPr>
      <w:r w:rsidRPr="002E7169">
        <w:rPr>
          <w:rFonts w:ascii="Arial" w:hAnsi="Arial" w:cs="Arial"/>
          <w:color w:val="000000"/>
          <w:sz w:val="22"/>
          <w:szCs w:val="22"/>
        </w:rPr>
        <w:t>64.For these reasons the Panel holds that the actions of a EULEX prosecutor taken while examining a case are part of the executive mandate of the EULEX Kosovo and therefore fall within the ambit of the Panel’s mandate as long as no indictment has been filed with a court competent to examine the merits of a case.”</w:t>
      </w:r>
      <w:r w:rsidRPr="002E7169">
        <w:rPr>
          <w:rStyle w:val="FootnoteReference"/>
          <w:rFonts w:ascii="Arial" w:hAnsi="Arial" w:cs="Arial"/>
          <w:color w:val="000000"/>
          <w:sz w:val="22"/>
          <w:szCs w:val="22"/>
        </w:rPr>
        <w:footnoteReference w:id="25"/>
      </w:r>
    </w:p>
    <w:p w14:paraId="71B01AC6" w14:textId="77777777" w:rsidR="007D7FA1" w:rsidRDefault="007D7FA1" w:rsidP="002E7169">
      <w:pPr>
        <w:pStyle w:val="ColorfulShading-Accent31"/>
        <w:spacing w:line="360" w:lineRule="auto"/>
        <w:ind w:left="0"/>
        <w:contextualSpacing/>
        <w:jc w:val="both"/>
        <w:rPr>
          <w:rFonts w:ascii="Arial" w:hAnsi="Arial" w:cs="Arial"/>
          <w:sz w:val="22"/>
          <w:szCs w:val="22"/>
          <w:lang w:val="en-GB"/>
        </w:rPr>
      </w:pPr>
    </w:p>
    <w:p w14:paraId="7FCBAFF6" w14:textId="77777777" w:rsidR="00BE5F6F" w:rsidRDefault="00BE5F6F" w:rsidP="002E7169">
      <w:pPr>
        <w:pStyle w:val="ColorfulShading-Accent31"/>
        <w:spacing w:line="360" w:lineRule="auto"/>
        <w:ind w:left="0"/>
        <w:contextualSpacing/>
        <w:jc w:val="both"/>
        <w:rPr>
          <w:rFonts w:ascii="Arial" w:hAnsi="Arial" w:cs="Arial"/>
          <w:sz w:val="22"/>
          <w:szCs w:val="22"/>
          <w:lang w:val="en-GB"/>
        </w:rPr>
      </w:pPr>
    </w:p>
    <w:p w14:paraId="442A5E96" w14:textId="77777777" w:rsidR="00BE5F6F" w:rsidRPr="002E7169" w:rsidRDefault="00BE5F6F" w:rsidP="002E7169">
      <w:pPr>
        <w:pStyle w:val="ColorfulShading-Accent31"/>
        <w:spacing w:line="360" w:lineRule="auto"/>
        <w:ind w:left="0"/>
        <w:contextualSpacing/>
        <w:jc w:val="both"/>
        <w:rPr>
          <w:rFonts w:ascii="Arial" w:hAnsi="Arial" w:cs="Arial"/>
          <w:sz w:val="22"/>
          <w:szCs w:val="22"/>
          <w:lang w:val="en-GB"/>
        </w:rPr>
      </w:pPr>
    </w:p>
    <w:p w14:paraId="72A8DC3D" w14:textId="38151462" w:rsidR="00674489" w:rsidRPr="002E7169" w:rsidRDefault="00674489" w:rsidP="002E7169">
      <w:pPr>
        <w:pStyle w:val="ColorfulShading-Accent31"/>
        <w:spacing w:line="360" w:lineRule="auto"/>
        <w:ind w:left="0"/>
        <w:contextualSpacing/>
        <w:jc w:val="both"/>
        <w:rPr>
          <w:rFonts w:ascii="Arial" w:hAnsi="Arial" w:cs="Arial"/>
          <w:b/>
          <w:sz w:val="22"/>
          <w:szCs w:val="22"/>
          <w:lang w:val="en-GB"/>
        </w:rPr>
      </w:pPr>
      <w:r w:rsidRPr="002E7169">
        <w:rPr>
          <w:rFonts w:ascii="Arial" w:hAnsi="Arial" w:cs="Arial"/>
          <w:b/>
          <w:sz w:val="22"/>
          <w:szCs w:val="22"/>
          <w:lang w:val="en-GB"/>
        </w:rPr>
        <w:lastRenderedPageBreak/>
        <w:t>Cutting point between “judicial” and “non-judicial” matters</w:t>
      </w:r>
    </w:p>
    <w:p w14:paraId="0C0002DD" w14:textId="77777777" w:rsidR="007D7FA1" w:rsidRPr="002E7169" w:rsidRDefault="007D7FA1" w:rsidP="002E7169">
      <w:pPr>
        <w:pStyle w:val="ColorfulShading-Accent31"/>
        <w:spacing w:line="360" w:lineRule="auto"/>
        <w:ind w:left="0"/>
        <w:contextualSpacing/>
        <w:jc w:val="both"/>
        <w:rPr>
          <w:rFonts w:ascii="Arial" w:hAnsi="Arial" w:cs="Arial"/>
          <w:sz w:val="22"/>
          <w:szCs w:val="22"/>
        </w:rPr>
      </w:pPr>
      <w:r w:rsidRPr="002E7169">
        <w:rPr>
          <w:rFonts w:ascii="Arial" w:hAnsi="Arial" w:cs="Arial"/>
          <w:sz w:val="22"/>
          <w:szCs w:val="22"/>
        </w:rPr>
        <w:t xml:space="preserve">The cutting point between prosecutorial/investigative on the one hand and “judicial” activities on the other has been taken to be the filing of an indictment lodged by the prosecutor. That is the point at which activities become </w:t>
      </w:r>
      <w:r w:rsidRPr="002E7169">
        <w:rPr>
          <w:rFonts w:ascii="Arial" w:hAnsi="Arial" w:cs="Arial"/>
          <w:i/>
          <w:sz w:val="22"/>
          <w:szCs w:val="22"/>
        </w:rPr>
        <w:t>judicial</w:t>
      </w:r>
      <w:r w:rsidRPr="002E7169">
        <w:rPr>
          <w:rFonts w:ascii="Arial" w:hAnsi="Arial" w:cs="Arial"/>
          <w:sz w:val="22"/>
          <w:szCs w:val="22"/>
        </w:rPr>
        <w:t xml:space="preserve"> in character and where the Panel loses in principle competence over the matter. On this “cutting point” the Panel has noted the following:</w:t>
      </w:r>
    </w:p>
    <w:p w14:paraId="777A7F2B" w14:textId="77777777" w:rsidR="007D7FA1" w:rsidRPr="002E7169" w:rsidRDefault="007D7FA1" w:rsidP="002E7169">
      <w:pPr>
        <w:pStyle w:val="ColorfulShading-Accent31"/>
        <w:spacing w:line="360" w:lineRule="auto"/>
        <w:ind w:left="0"/>
        <w:contextualSpacing/>
        <w:jc w:val="both"/>
        <w:rPr>
          <w:rFonts w:ascii="Arial" w:hAnsi="Arial" w:cs="Arial"/>
          <w:sz w:val="22"/>
          <w:szCs w:val="22"/>
          <w:lang w:val="en-GB"/>
        </w:rPr>
      </w:pPr>
    </w:p>
    <w:p w14:paraId="316D9F3D" w14:textId="7BDB444B" w:rsidR="007D7FA1" w:rsidRPr="002E7169" w:rsidRDefault="007D7FA1" w:rsidP="002E7169">
      <w:pPr>
        <w:pStyle w:val="ColorfulShading-Accent31"/>
        <w:spacing w:line="360" w:lineRule="auto"/>
        <w:contextualSpacing/>
        <w:jc w:val="both"/>
        <w:rPr>
          <w:rFonts w:ascii="Arial" w:hAnsi="Arial" w:cs="Arial"/>
          <w:sz w:val="22"/>
          <w:szCs w:val="22"/>
          <w:lang w:val="en-GB"/>
        </w:rPr>
      </w:pPr>
      <w:r w:rsidRPr="002E7169">
        <w:rPr>
          <w:rFonts w:ascii="Arial" w:hAnsi="Arial" w:cs="Arial"/>
          <w:sz w:val="22"/>
          <w:szCs w:val="22"/>
          <w:lang w:val="en-GB"/>
        </w:rPr>
        <w:t>“16.</w:t>
      </w:r>
      <w:r w:rsidR="00867E43" w:rsidRPr="002E7169">
        <w:rPr>
          <w:rFonts w:ascii="Arial" w:hAnsi="Arial" w:cs="Arial"/>
          <w:sz w:val="22"/>
          <w:szCs w:val="22"/>
          <w:lang w:val="en-GB"/>
        </w:rPr>
        <w:t xml:space="preserve"> </w:t>
      </w:r>
      <w:r w:rsidRPr="002E7169">
        <w:rPr>
          <w:rFonts w:ascii="Arial" w:hAnsi="Arial" w:cs="Arial"/>
          <w:sz w:val="22"/>
          <w:szCs w:val="22"/>
          <w:lang w:val="en-GB"/>
        </w:rPr>
        <w:t>Furthermore, the indictment in the case has already been lodged before a court and the case is now being prepared for trial. The complaint relates to judicial proceedings before a court of Kosovo. The fact that the case has been taken over by EULEX under the provisions of Law on Jurisdiction, Case Selection and Case Allocation of EULEX Judges and Prosecutors in Kosovo (Law no. 03 L/053) does not detract from the fact that the acts of courts composed in their entirety of EULEX judges remain the courts of Kosovo. The Panel notes that it is not entitled to review the judicial proceedings (as mentioned above, Para 14.). Therefore the complaint does not fall within the ambit of the Panel’s mandate.”</w:t>
      </w:r>
      <w:r w:rsidRPr="002E7169">
        <w:rPr>
          <w:rStyle w:val="FootnoteReference"/>
          <w:rFonts w:ascii="Arial" w:hAnsi="Arial" w:cs="Arial"/>
          <w:sz w:val="22"/>
          <w:szCs w:val="22"/>
          <w:lang w:val="en-GB"/>
        </w:rPr>
        <w:footnoteReference w:id="26"/>
      </w:r>
    </w:p>
    <w:p w14:paraId="5582C27F" w14:textId="77777777" w:rsidR="007D7FA1" w:rsidRPr="002E7169" w:rsidRDefault="007D7FA1" w:rsidP="002E7169">
      <w:pPr>
        <w:pStyle w:val="ColorfulShading-Accent31"/>
        <w:spacing w:line="360" w:lineRule="auto"/>
        <w:ind w:left="0"/>
        <w:contextualSpacing/>
        <w:jc w:val="both"/>
        <w:rPr>
          <w:rFonts w:ascii="Arial" w:hAnsi="Arial" w:cs="Arial"/>
          <w:sz w:val="22"/>
          <w:szCs w:val="22"/>
          <w:lang w:val="en-GB"/>
        </w:rPr>
      </w:pPr>
    </w:p>
    <w:p w14:paraId="146C6C17" w14:textId="097544A5" w:rsidR="007D7FA1" w:rsidRPr="002E7169" w:rsidRDefault="007D7FA1" w:rsidP="002E7169">
      <w:pPr>
        <w:pStyle w:val="ColorfulShading-Accent31"/>
        <w:spacing w:line="360" w:lineRule="auto"/>
        <w:ind w:left="0"/>
        <w:contextualSpacing/>
        <w:jc w:val="both"/>
        <w:rPr>
          <w:rFonts w:ascii="Arial" w:hAnsi="Arial" w:cs="Arial"/>
          <w:sz w:val="22"/>
          <w:szCs w:val="22"/>
          <w:lang w:val="en-GB"/>
        </w:rPr>
      </w:pPr>
      <w:r w:rsidRPr="002E7169">
        <w:rPr>
          <w:rFonts w:ascii="Arial" w:hAnsi="Arial" w:cs="Arial"/>
          <w:sz w:val="22"/>
          <w:szCs w:val="22"/>
          <w:lang w:val="en-GB"/>
        </w:rPr>
        <w:t xml:space="preserve">Similarly, in another case the Panel </w:t>
      </w:r>
      <w:r w:rsidR="00674489" w:rsidRPr="002E7169">
        <w:rPr>
          <w:rFonts w:ascii="Arial" w:hAnsi="Arial" w:cs="Arial"/>
          <w:sz w:val="22"/>
          <w:szCs w:val="22"/>
          <w:lang w:val="en-GB"/>
        </w:rPr>
        <w:t xml:space="preserve">has </w:t>
      </w:r>
      <w:r w:rsidRPr="002E7169">
        <w:rPr>
          <w:rFonts w:ascii="Arial" w:hAnsi="Arial" w:cs="Arial"/>
          <w:sz w:val="22"/>
          <w:szCs w:val="22"/>
          <w:lang w:val="en-GB"/>
        </w:rPr>
        <w:t xml:space="preserve">noted </w:t>
      </w:r>
      <w:r w:rsidR="00674489" w:rsidRPr="002E7169">
        <w:rPr>
          <w:rFonts w:ascii="Arial" w:hAnsi="Arial" w:cs="Arial"/>
          <w:sz w:val="22"/>
          <w:szCs w:val="22"/>
          <w:lang w:val="en-GB"/>
        </w:rPr>
        <w:t>the following</w:t>
      </w:r>
      <w:r w:rsidRPr="002E7169">
        <w:rPr>
          <w:rFonts w:ascii="Arial" w:hAnsi="Arial" w:cs="Arial"/>
          <w:sz w:val="22"/>
          <w:szCs w:val="22"/>
          <w:lang w:val="en-GB"/>
        </w:rPr>
        <w:t>:</w:t>
      </w:r>
    </w:p>
    <w:p w14:paraId="1E7B5BB1" w14:textId="77777777" w:rsidR="007D7FA1" w:rsidRPr="002E7169" w:rsidRDefault="007D7FA1" w:rsidP="002E7169">
      <w:pPr>
        <w:pStyle w:val="ColorfulShading-Accent31"/>
        <w:spacing w:line="360" w:lineRule="auto"/>
        <w:contextualSpacing/>
        <w:jc w:val="both"/>
        <w:rPr>
          <w:rFonts w:ascii="Arial" w:hAnsi="Arial" w:cs="Arial"/>
          <w:sz w:val="22"/>
          <w:szCs w:val="22"/>
          <w:lang w:val="en-GB"/>
        </w:rPr>
      </w:pPr>
    </w:p>
    <w:p w14:paraId="7D7944A7" w14:textId="77777777" w:rsidR="007D7FA1" w:rsidRPr="002E7169" w:rsidRDefault="007D7FA1" w:rsidP="002E7169">
      <w:pPr>
        <w:spacing w:line="360" w:lineRule="auto"/>
        <w:ind w:left="720"/>
        <w:jc w:val="both"/>
        <w:rPr>
          <w:rFonts w:ascii="Arial" w:hAnsi="Arial" w:cs="Arial"/>
          <w:sz w:val="22"/>
          <w:szCs w:val="22"/>
          <w:lang w:val="en-GB"/>
        </w:rPr>
      </w:pPr>
      <w:r w:rsidRPr="002E7169">
        <w:rPr>
          <w:rFonts w:ascii="Arial" w:hAnsi="Arial" w:cs="Arial"/>
          <w:sz w:val="22"/>
          <w:szCs w:val="22"/>
        </w:rPr>
        <w:t xml:space="preserve">“38. </w:t>
      </w:r>
      <w:r w:rsidRPr="002E7169">
        <w:rPr>
          <w:rFonts w:ascii="Arial" w:hAnsi="Arial" w:cs="Arial"/>
          <w:sz w:val="22"/>
          <w:szCs w:val="22"/>
          <w:lang w:val="en-GB"/>
        </w:rPr>
        <w:t xml:space="preserve">The Panel has previously found that the actions of a EULEX Prosecutor taken while examining a case are part of the executive mandate of the EULEX Kosovo and therefore fall within the ambit of the Panel’s mandate as long as no indictment has been filed with a court competent to examine the merits of a case […].  </w:t>
      </w:r>
    </w:p>
    <w:p w14:paraId="304BB314" w14:textId="77777777" w:rsidR="007D7FA1" w:rsidRPr="002E7169" w:rsidRDefault="007D7FA1" w:rsidP="002E7169">
      <w:pPr>
        <w:spacing w:line="360" w:lineRule="auto"/>
        <w:ind w:left="720"/>
        <w:jc w:val="both"/>
        <w:rPr>
          <w:rFonts w:ascii="Arial" w:hAnsi="Arial" w:cs="Arial"/>
          <w:sz w:val="22"/>
          <w:szCs w:val="22"/>
          <w:lang w:val="en-GB"/>
        </w:rPr>
      </w:pPr>
      <w:r w:rsidRPr="002E7169">
        <w:rPr>
          <w:rFonts w:ascii="Arial" w:hAnsi="Arial" w:cs="Arial"/>
          <w:sz w:val="22"/>
          <w:szCs w:val="22"/>
          <w:lang w:val="en-GB"/>
        </w:rPr>
        <w:t>39.The Panel, after considering the facts of this case, is satisfied that the conduct complained of relates directly to the actions of EULEX Prosecutors in the discharge of their executive functions between January 2009 and December 2014 during which time EULEX prosecutors were responsible for the criminal investigation against the complainant.</w:t>
      </w:r>
    </w:p>
    <w:p w14:paraId="6321DC35" w14:textId="77777777" w:rsidR="007D7FA1" w:rsidRPr="002E7169" w:rsidRDefault="007D7FA1" w:rsidP="002E7169">
      <w:pPr>
        <w:pStyle w:val="ColorfulShading-Accent31"/>
        <w:spacing w:line="360" w:lineRule="auto"/>
        <w:contextualSpacing/>
        <w:jc w:val="both"/>
        <w:rPr>
          <w:rFonts w:ascii="Arial" w:hAnsi="Arial" w:cs="Arial"/>
          <w:sz w:val="22"/>
          <w:szCs w:val="22"/>
          <w:lang w:val="en-GB"/>
        </w:rPr>
      </w:pPr>
      <w:r w:rsidRPr="002E7169">
        <w:rPr>
          <w:rFonts w:ascii="Arial" w:hAnsi="Arial" w:cs="Arial"/>
          <w:sz w:val="22"/>
          <w:szCs w:val="22"/>
          <w:lang w:val="en-GB"/>
        </w:rPr>
        <w:t>40.In such circumstances, the Panel unanimously decides that the complaint falls within the ambit of its mandate and satisfies the admissibility criteria as set out.”</w:t>
      </w:r>
      <w:r w:rsidRPr="002E7169">
        <w:rPr>
          <w:rStyle w:val="FootnoteReference"/>
          <w:rFonts w:ascii="Arial" w:hAnsi="Arial" w:cs="Arial"/>
          <w:sz w:val="22"/>
          <w:szCs w:val="22"/>
          <w:lang w:val="en-GB"/>
        </w:rPr>
        <w:footnoteReference w:id="27"/>
      </w:r>
    </w:p>
    <w:p w14:paraId="2509C435" w14:textId="77777777" w:rsidR="007D7FA1" w:rsidRPr="002E7169" w:rsidRDefault="007D7FA1" w:rsidP="002E7169">
      <w:pPr>
        <w:pStyle w:val="ColorfulShading-Accent31"/>
        <w:spacing w:line="360" w:lineRule="auto"/>
        <w:ind w:left="0"/>
        <w:contextualSpacing/>
        <w:jc w:val="both"/>
        <w:rPr>
          <w:rFonts w:ascii="Arial" w:hAnsi="Arial" w:cs="Arial"/>
          <w:sz w:val="22"/>
          <w:szCs w:val="22"/>
          <w:lang w:val="en-GB"/>
        </w:rPr>
      </w:pPr>
    </w:p>
    <w:p w14:paraId="02B8EEC3" w14:textId="404CBCEE" w:rsidR="007D7FA1" w:rsidRPr="002E7169" w:rsidRDefault="007D7FA1" w:rsidP="002E7169">
      <w:pPr>
        <w:pStyle w:val="ColorfulShading-Accent31"/>
        <w:spacing w:line="360" w:lineRule="auto"/>
        <w:ind w:left="0"/>
        <w:contextualSpacing/>
        <w:jc w:val="both"/>
        <w:rPr>
          <w:rFonts w:ascii="Arial" w:hAnsi="Arial" w:cs="Arial"/>
          <w:sz w:val="22"/>
          <w:szCs w:val="22"/>
          <w:lang w:val="en-GB"/>
        </w:rPr>
      </w:pPr>
      <w:r w:rsidRPr="002E7169">
        <w:rPr>
          <w:rFonts w:ascii="Arial" w:hAnsi="Arial" w:cs="Arial"/>
          <w:sz w:val="22"/>
          <w:szCs w:val="22"/>
          <w:lang w:val="en-GB"/>
        </w:rPr>
        <w:t xml:space="preserve">The fact that the investigative or prosecutorial actions have been subject to judicial review by the Kosovo judiciary would not exclude the Panel’s jurisdiction over the </w:t>
      </w:r>
      <w:r w:rsidR="00674489" w:rsidRPr="002E7169">
        <w:rPr>
          <w:rFonts w:ascii="Arial" w:hAnsi="Arial" w:cs="Arial"/>
          <w:sz w:val="22"/>
          <w:szCs w:val="22"/>
          <w:lang w:val="en-GB"/>
        </w:rPr>
        <w:t>acts of the prosecutors</w:t>
      </w:r>
      <w:r w:rsidRPr="002E7169">
        <w:rPr>
          <w:rFonts w:ascii="Arial" w:hAnsi="Arial" w:cs="Arial"/>
          <w:sz w:val="22"/>
          <w:szCs w:val="22"/>
          <w:lang w:val="en-GB"/>
        </w:rPr>
        <w:t xml:space="preserve">. However, in such a case, </w:t>
      </w:r>
      <w:r w:rsidRPr="002E7169">
        <w:rPr>
          <w:rFonts w:ascii="Arial" w:hAnsi="Arial" w:cs="Arial"/>
          <w:color w:val="000000"/>
          <w:sz w:val="22"/>
          <w:szCs w:val="22"/>
        </w:rPr>
        <w:t xml:space="preserve">the Panel would </w:t>
      </w:r>
      <w:r w:rsidRPr="002E7169">
        <w:rPr>
          <w:rFonts w:ascii="Arial" w:hAnsi="Arial" w:cs="Arial"/>
          <w:i/>
          <w:color w:val="000000"/>
          <w:sz w:val="22"/>
          <w:szCs w:val="22"/>
        </w:rPr>
        <w:t>only</w:t>
      </w:r>
      <w:r w:rsidRPr="002E7169">
        <w:rPr>
          <w:rFonts w:ascii="Arial" w:hAnsi="Arial" w:cs="Arial"/>
          <w:color w:val="000000"/>
          <w:sz w:val="22"/>
          <w:szCs w:val="22"/>
        </w:rPr>
        <w:t xml:space="preserve"> intervene if and where allegations of human rights violations attributed to the prosecutor have not been fully addressed by the competent judicial authorities.</w:t>
      </w:r>
      <w:r w:rsidRPr="002E7169">
        <w:rPr>
          <w:rStyle w:val="FootnoteReference"/>
          <w:rFonts w:ascii="Arial" w:hAnsi="Arial" w:cs="Arial"/>
          <w:color w:val="000000"/>
          <w:sz w:val="22"/>
          <w:szCs w:val="22"/>
          <w:lang w:val="en-GB"/>
        </w:rPr>
        <w:footnoteReference w:id="28"/>
      </w:r>
      <w:r w:rsidR="00674489" w:rsidRPr="002E7169">
        <w:rPr>
          <w:rFonts w:ascii="Arial" w:hAnsi="Arial" w:cs="Arial"/>
          <w:color w:val="000000"/>
          <w:sz w:val="22"/>
          <w:szCs w:val="22"/>
        </w:rPr>
        <w:t xml:space="preserve"> Where allegations of rights violation have been fully addressed by Kosovo courts, the Panel would not be competent. </w:t>
      </w:r>
    </w:p>
    <w:p w14:paraId="0BAC6996" w14:textId="77777777" w:rsidR="007D7FA1" w:rsidRPr="002E7169" w:rsidRDefault="007D7FA1" w:rsidP="002E7169">
      <w:pPr>
        <w:spacing w:line="360" w:lineRule="auto"/>
        <w:jc w:val="both"/>
        <w:rPr>
          <w:rFonts w:ascii="Arial" w:hAnsi="Arial" w:cs="Arial"/>
          <w:sz w:val="22"/>
          <w:szCs w:val="22"/>
          <w:lang w:val="en-GB"/>
        </w:rPr>
      </w:pPr>
    </w:p>
    <w:p w14:paraId="57220B0A" w14:textId="3503ED06" w:rsidR="00674489" w:rsidRPr="002E7169" w:rsidRDefault="00674489" w:rsidP="002E7169">
      <w:pPr>
        <w:spacing w:line="360" w:lineRule="auto"/>
        <w:jc w:val="both"/>
        <w:rPr>
          <w:rFonts w:ascii="Arial" w:hAnsi="Arial" w:cs="Arial"/>
          <w:b/>
          <w:sz w:val="22"/>
          <w:szCs w:val="22"/>
          <w:lang w:val="en-GB"/>
        </w:rPr>
      </w:pPr>
      <w:r w:rsidRPr="002E7169">
        <w:rPr>
          <w:rFonts w:ascii="Arial" w:hAnsi="Arial" w:cs="Arial"/>
          <w:b/>
          <w:sz w:val="22"/>
          <w:szCs w:val="22"/>
          <w:lang w:val="en-GB"/>
        </w:rPr>
        <w:t>Failure to act as basis of complaint</w:t>
      </w:r>
    </w:p>
    <w:p w14:paraId="705B628D" w14:textId="436364E2" w:rsidR="007D7FA1" w:rsidRPr="002E7169" w:rsidRDefault="007D7FA1" w:rsidP="002E7169">
      <w:pPr>
        <w:spacing w:line="360" w:lineRule="auto"/>
        <w:jc w:val="both"/>
        <w:rPr>
          <w:rFonts w:ascii="Arial" w:hAnsi="Arial" w:cs="Arial"/>
          <w:sz w:val="22"/>
          <w:szCs w:val="22"/>
          <w:lang w:val="en-GB"/>
        </w:rPr>
      </w:pPr>
      <w:r w:rsidRPr="002E7169">
        <w:rPr>
          <w:rFonts w:ascii="Arial" w:hAnsi="Arial" w:cs="Arial"/>
          <w:sz w:val="22"/>
          <w:szCs w:val="22"/>
          <w:lang w:val="en-GB"/>
        </w:rPr>
        <w:t xml:space="preserve">The responsibility of EULEX </w:t>
      </w:r>
      <w:r w:rsidR="00674489" w:rsidRPr="002E7169">
        <w:rPr>
          <w:rFonts w:ascii="Arial" w:hAnsi="Arial" w:cs="Arial"/>
          <w:sz w:val="22"/>
          <w:szCs w:val="22"/>
          <w:lang w:val="en-GB"/>
        </w:rPr>
        <w:t>could</w:t>
      </w:r>
      <w:r w:rsidRPr="002E7169">
        <w:rPr>
          <w:rFonts w:ascii="Arial" w:hAnsi="Arial" w:cs="Arial"/>
          <w:sz w:val="22"/>
          <w:szCs w:val="22"/>
          <w:lang w:val="en-GB"/>
        </w:rPr>
        <w:t xml:space="preserve"> be triggered by </w:t>
      </w:r>
      <w:r w:rsidR="00674489" w:rsidRPr="002E7169">
        <w:rPr>
          <w:rFonts w:ascii="Arial" w:hAnsi="Arial" w:cs="Arial"/>
          <w:sz w:val="22"/>
          <w:szCs w:val="22"/>
          <w:lang w:val="en-GB"/>
        </w:rPr>
        <w:t>an</w:t>
      </w:r>
      <w:r w:rsidRPr="002E7169">
        <w:rPr>
          <w:rFonts w:ascii="Arial" w:hAnsi="Arial" w:cs="Arial"/>
          <w:sz w:val="22"/>
          <w:szCs w:val="22"/>
          <w:lang w:val="en-GB"/>
        </w:rPr>
        <w:t xml:space="preserve"> omission attributable to the prosecuting authorities.</w:t>
      </w:r>
      <w:r w:rsidRPr="002E7169">
        <w:rPr>
          <w:rStyle w:val="FootnoteReference"/>
          <w:rFonts w:ascii="Arial" w:hAnsi="Arial" w:cs="Arial"/>
          <w:sz w:val="22"/>
          <w:szCs w:val="22"/>
          <w:lang w:val="en-GB"/>
        </w:rPr>
        <w:footnoteReference w:id="29"/>
      </w:r>
      <w:r w:rsidRPr="002E7169">
        <w:rPr>
          <w:rFonts w:ascii="Arial" w:hAnsi="Arial" w:cs="Arial"/>
          <w:sz w:val="22"/>
          <w:szCs w:val="22"/>
          <w:lang w:val="en-GB"/>
        </w:rPr>
        <w:t xml:space="preserve"> For an omission to be capable of engaging the responsibility the Mission, an EULEX prosecutor must have failed to act when they were competent and required to do so. The Panel has clarified this when it stated the following:</w:t>
      </w:r>
    </w:p>
    <w:p w14:paraId="7CE0C1DB" w14:textId="77777777" w:rsidR="007D7FA1" w:rsidRPr="002E7169" w:rsidRDefault="007D7FA1" w:rsidP="002E7169">
      <w:pPr>
        <w:spacing w:line="360" w:lineRule="auto"/>
        <w:ind w:left="720"/>
        <w:jc w:val="both"/>
        <w:rPr>
          <w:rFonts w:ascii="Arial" w:hAnsi="Arial" w:cs="Arial"/>
          <w:sz w:val="22"/>
          <w:szCs w:val="22"/>
          <w:lang w:val="en-GB"/>
        </w:rPr>
      </w:pPr>
    </w:p>
    <w:p w14:paraId="5579EF36" w14:textId="25D7EC81" w:rsidR="007D7FA1" w:rsidRPr="002E7169" w:rsidRDefault="007D7FA1" w:rsidP="002E7169">
      <w:pPr>
        <w:autoSpaceDE w:val="0"/>
        <w:autoSpaceDN w:val="0"/>
        <w:adjustRightInd w:val="0"/>
        <w:spacing w:line="360" w:lineRule="auto"/>
        <w:ind w:left="720"/>
        <w:jc w:val="both"/>
        <w:rPr>
          <w:rFonts w:ascii="Arial" w:hAnsi="Arial" w:cs="Arial"/>
          <w:sz w:val="22"/>
          <w:szCs w:val="22"/>
          <w:lang w:val="en-GB"/>
        </w:rPr>
      </w:pPr>
      <w:r w:rsidRPr="002E7169">
        <w:rPr>
          <w:rFonts w:ascii="Arial" w:hAnsi="Arial" w:cs="Arial"/>
          <w:sz w:val="22"/>
          <w:szCs w:val="22"/>
        </w:rPr>
        <w:lastRenderedPageBreak/>
        <w:t>“73.</w:t>
      </w:r>
      <w:r w:rsidR="00867E43" w:rsidRPr="002E7169">
        <w:rPr>
          <w:rFonts w:ascii="Arial" w:hAnsi="Arial" w:cs="Arial"/>
          <w:sz w:val="22"/>
          <w:szCs w:val="22"/>
        </w:rPr>
        <w:t xml:space="preserve"> </w:t>
      </w:r>
      <w:r w:rsidRPr="002E7169">
        <w:rPr>
          <w:rFonts w:ascii="Arial" w:hAnsi="Arial" w:cs="Arial"/>
          <w:sz w:val="22"/>
          <w:szCs w:val="22"/>
          <w:lang w:val="en-GB"/>
        </w:rPr>
        <w:t xml:space="preserve">The Panel accepts the HOM’s statement that EULEX was informed about this case on 25 June 2009 when the complainant requested the EULEX prosecutor in </w:t>
      </w:r>
      <w:r w:rsidRPr="002E7169">
        <w:rPr>
          <w:rFonts w:ascii="Arial" w:hAnsi="Arial" w:cs="Arial"/>
          <w:sz w:val="22"/>
          <w:szCs w:val="22"/>
        </w:rPr>
        <w:t xml:space="preserve">Mitrovicë/Mitrovica to take appropriate measures in order to have the legal situation of the property clarified, if need be, by way of  criminal investigation and prosecution.  </w:t>
      </w:r>
    </w:p>
    <w:p w14:paraId="41DABFD0" w14:textId="77777777" w:rsidR="007D7FA1" w:rsidRPr="002E7169" w:rsidRDefault="007D7FA1" w:rsidP="002E7169">
      <w:pPr>
        <w:autoSpaceDE w:val="0"/>
        <w:autoSpaceDN w:val="0"/>
        <w:adjustRightInd w:val="0"/>
        <w:spacing w:line="360" w:lineRule="auto"/>
        <w:ind w:left="720"/>
        <w:jc w:val="both"/>
        <w:rPr>
          <w:rFonts w:ascii="Arial" w:hAnsi="Arial" w:cs="Arial"/>
          <w:sz w:val="22"/>
          <w:szCs w:val="22"/>
        </w:rPr>
      </w:pPr>
      <w:r w:rsidRPr="002E7169">
        <w:rPr>
          <w:rFonts w:ascii="Arial" w:hAnsi="Arial" w:cs="Arial"/>
          <w:sz w:val="22"/>
          <w:szCs w:val="22"/>
          <w:lang w:val="en-GB"/>
        </w:rPr>
        <w:t xml:space="preserve">74.The Panel takes note of the fact that there is no obligation on the prosecutor to inform the complainant on the proper procedure with regard civil proceedings. </w:t>
      </w:r>
    </w:p>
    <w:p w14:paraId="7FFD5631" w14:textId="77777777" w:rsidR="007D7FA1" w:rsidRPr="002E7169" w:rsidRDefault="007D7FA1" w:rsidP="002E7169">
      <w:pPr>
        <w:autoSpaceDE w:val="0"/>
        <w:autoSpaceDN w:val="0"/>
        <w:adjustRightInd w:val="0"/>
        <w:spacing w:line="360" w:lineRule="auto"/>
        <w:ind w:left="720"/>
        <w:jc w:val="both"/>
        <w:rPr>
          <w:rFonts w:ascii="Arial" w:hAnsi="Arial" w:cs="Arial"/>
          <w:sz w:val="22"/>
          <w:szCs w:val="22"/>
        </w:rPr>
      </w:pPr>
      <w:r w:rsidRPr="002E7169">
        <w:rPr>
          <w:rFonts w:ascii="Arial" w:hAnsi="Arial" w:cs="Arial"/>
          <w:sz w:val="22"/>
          <w:szCs w:val="22"/>
        </w:rPr>
        <w:t xml:space="preserve">75.However, the Panel cannot but note that </w:t>
      </w:r>
      <w:r w:rsidRPr="002E7169">
        <w:rPr>
          <w:rFonts w:ascii="Arial" w:hAnsi="Arial" w:cs="Arial"/>
          <w:sz w:val="22"/>
          <w:szCs w:val="22"/>
          <w:lang w:val="en-GB"/>
        </w:rPr>
        <w:t>it has not been argued, let alone shown, that any steps have been taken by the EULEX prosecution services to effectively address the complainant’s situation since 25 June 2009.</w:t>
      </w:r>
    </w:p>
    <w:p w14:paraId="34E08884" w14:textId="77777777" w:rsidR="007D7FA1" w:rsidRPr="002E7169" w:rsidRDefault="007D7FA1" w:rsidP="002E7169">
      <w:pPr>
        <w:spacing w:line="360" w:lineRule="auto"/>
        <w:ind w:left="720"/>
        <w:jc w:val="both"/>
        <w:rPr>
          <w:rFonts w:ascii="Arial" w:hAnsi="Arial" w:cs="Arial"/>
          <w:sz w:val="22"/>
          <w:szCs w:val="22"/>
          <w:lang w:val="en-GB"/>
        </w:rPr>
      </w:pPr>
      <w:r w:rsidRPr="002E7169">
        <w:rPr>
          <w:rFonts w:ascii="Arial" w:hAnsi="Arial" w:cs="Arial"/>
          <w:sz w:val="22"/>
          <w:szCs w:val="22"/>
        </w:rPr>
        <w:t xml:space="preserve">76.The Panel, while appreciating the difficult situation in the courts in Mitrovicë/Mitrovica, concludes, however, that there has been a violation of the complainant’s right of access to a court under Article 6 § 1 of the Convention and </w:t>
      </w:r>
      <w:r w:rsidRPr="002E7169">
        <w:rPr>
          <w:rFonts w:ascii="Arial" w:hAnsi="Arial" w:cs="Arial"/>
          <w:sz w:val="22"/>
          <w:szCs w:val="22"/>
          <w:lang w:val="en-GB"/>
        </w:rPr>
        <w:t>a violation of his right to the peaceful enjoyment of his possessions guaranteed by Article 1 of Protocol No. 1 to the Convention.</w:t>
      </w:r>
      <w:r w:rsidRPr="002E7169">
        <w:rPr>
          <w:rStyle w:val="FootnoteReference"/>
          <w:rFonts w:ascii="Arial" w:hAnsi="Arial" w:cs="Arial"/>
          <w:sz w:val="22"/>
          <w:szCs w:val="22"/>
          <w:lang w:val="en-GB"/>
        </w:rPr>
        <w:footnoteReference w:id="30"/>
      </w:r>
      <w:r w:rsidRPr="002E7169">
        <w:rPr>
          <w:rFonts w:ascii="Arial" w:hAnsi="Arial" w:cs="Arial"/>
          <w:sz w:val="22"/>
          <w:szCs w:val="22"/>
          <w:lang w:val="en-GB"/>
        </w:rPr>
        <w:t xml:space="preserve"> </w:t>
      </w:r>
    </w:p>
    <w:p w14:paraId="24E20D64" w14:textId="77777777" w:rsidR="007D7FA1" w:rsidRPr="002E7169" w:rsidRDefault="007D7FA1" w:rsidP="002E7169">
      <w:pPr>
        <w:spacing w:line="360" w:lineRule="auto"/>
        <w:ind w:left="720"/>
        <w:jc w:val="both"/>
        <w:rPr>
          <w:rFonts w:ascii="Arial" w:hAnsi="Arial" w:cs="Arial"/>
          <w:sz w:val="22"/>
          <w:szCs w:val="22"/>
          <w:lang w:val="en-GB"/>
        </w:rPr>
      </w:pPr>
    </w:p>
    <w:p w14:paraId="0F287C37" w14:textId="77777777" w:rsidR="007D7FA1" w:rsidRPr="002E7169" w:rsidRDefault="007D7FA1" w:rsidP="002E7169">
      <w:pPr>
        <w:spacing w:line="360" w:lineRule="auto"/>
        <w:jc w:val="both"/>
        <w:rPr>
          <w:rFonts w:ascii="Arial" w:hAnsi="Arial" w:cs="Arial"/>
          <w:sz w:val="22"/>
          <w:szCs w:val="22"/>
          <w:lang w:val="en-GB"/>
        </w:rPr>
      </w:pPr>
      <w:r w:rsidRPr="002E7169">
        <w:rPr>
          <w:rFonts w:ascii="Arial" w:hAnsi="Arial" w:cs="Arial"/>
          <w:sz w:val="22"/>
          <w:szCs w:val="22"/>
          <w:lang w:val="en-GB"/>
        </w:rPr>
        <w:t xml:space="preserve">For the same reason, a decision not to take over a case from the local authorities where this was justified and necessary to protect human rights effectively could, under some circumstances, form a basis for a violation by omission. The Panel has touch upon this in the following case: </w:t>
      </w:r>
    </w:p>
    <w:p w14:paraId="1F31F704" w14:textId="77777777" w:rsidR="007D7FA1" w:rsidRPr="002E7169" w:rsidRDefault="007D7FA1" w:rsidP="002E7169">
      <w:pPr>
        <w:spacing w:line="360" w:lineRule="auto"/>
        <w:rPr>
          <w:rFonts w:ascii="Arial" w:hAnsi="Arial" w:cs="Arial"/>
          <w:sz w:val="22"/>
          <w:szCs w:val="22"/>
        </w:rPr>
      </w:pPr>
    </w:p>
    <w:p w14:paraId="5ADE0E4C" w14:textId="77777777" w:rsidR="007D7FA1" w:rsidRPr="002E7169" w:rsidRDefault="007D7FA1" w:rsidP="002E7169">
      <w:pPr>
        <w:spacing w:line="360" w:lineRule="auto"/>
        <w:ind w:left="720"/>
        <w:jc w:val="both"/>
        <w:rPr>
          <w:rFonts w:ascii="Arial" w:hAnsi="Arial" w:cs="Arial"/>
          <w:sz w:val="22"/>
          <w:szCs w:val="22"/>
          <w:lang w:val="en-GB"/>
        </w:rPr>
      </w:pPr>
      <w:r w:rsidRPr="002E7169">
        <w:rPr>
          <w:rFonts w:ascii="Arial" w:hAnsi="Arial" w:cs="Arial"/>
          <w:sz w:val="22"/>
          <w:szCs w:val="22"/>
        </w:rPr>
        <w:t>“20. The Panel notes that t</w:t>
      </w:r>
      <w:r w:rsidRPr="002E7169">
        <w:rPr>
          <w:rFonts w:ascii="Arial" w:hAnsi="Arial" w:cs="Arial"/>
          <w:sz w:val="22"/>
          <w:szCs w:val="22"/>
          <w:lang w:val="en-GB"/>
        </w:rPr>
        <w:t>he decision of EULEX Kosovo not to take over the complainant’s case was communicated to him on 26 January 2010. The complaint should have been lodged at the latest on 9 September 2010.The complaint was lodged 1 April, 2011. Thus, the complaint does not comply with the requirement of Rule 25, paragraph 3 of the Rules of Procedure.“</w:t>
      </w:r>
      <w:r w:rsidRPr="002E7169">
        <w:rPr>
          <w:rStyle w:val="FootnoteReference"/>
          <w:rFonts w:ascii="Arial" w:hAnsi="Arial" w:cs="Arial"/>
          <w:sz w:val="22"/>
          <w:szCs w:val="22"/>
          <w:lang w:val="en-GB"/>
        </w:rPr>
        <w:footnoteReference w:id="31"/>
      </w:r>
      <w:r w:rsidRPr="002E7169">
        <w:rPr>
          <w:rFonts w:ascii="Arial" w:hAnsi="Arial" w:cs="Arial"/>
          <w:sz w:val="22"/>
          <w:szCs w:val="22"/>
          <w:lang w:val="en-GB"/>
        </w:rPr>
        <w:t xml:space="preserve"> </w:t>
      </w:r>
    </w:p>
    <w:p w14:paraId="47F6A572" w14:textId="77777777" w:rsidR="007D7FA1" w:rsidRPr="002E7169" w:rsidRDefault="007D7FA1" w:rsidP="002E7169">
      <w:pPr>
        <w:spacing w:line="360" w:lineRule="auto"/>
        <w:jc w:val="both"/>
        <w:rPr>
          <w:rFonts w:ascii="Arial" w:hAnsi="Arial" w:cs="Arial"/>
          <w:sz w:val="22"/>
          <w:szCs w:val="22"/>
          <w:lang w:val="en-GB"/>
        </w:rPr>
      </w:pPr>
    </w:p>
    <w:p w14:paraId="5C35F47B" w14:textId="77777777" w:rsidR="007D7FA1" w:rsidRPr="002E7169" w:rsidRDefault="007D7FA1" w:rsidP="002E7169">
      <w:pPr>
        <w:spacing w:line="360" w:lineRule="auto"/>
        <w:jc w:val="both"/>
        <w:rPr>
          <w:rFonts w:ascii="Arial" w:hAnsi="Arial" w:cs="Arial"/>
          <w:sz w:val="22"/>
          <w:szCs w:val="22"/>
          <w:lang w:val="en-GB"/>
        </w:rPr>
      </w:pPr>
      <w:r w:rsidRPr="002E7169">
        <w:rPr>
          <w:rFonts w:ascii="Arial" w:hAnsi="Arial" w:cs="Arial"/>
          <w:sz w:val="22"/>
          <w:szCs w:val="22"/>
          <w:lang w:val="en-GB"/>
        </w:rPr>
        <w:t>Following the same logic, a decision not to proceed with a case could under some circumstances have the same effect where, for instance, that decision is unreasonable or arbitrary. The Panel has determined precisely this in a cases related to a civil case of usurpation of an apartment:</w:t>
      </w:r>
    </w:p>
    <w:p w14:paraId="1CF10C5F" w14:textId="77777777" w:rsidR="007D7FA1" w:rsidRPr="002E7169" w:rsidRDefault="007D7FA1" w:rsidP="002E7169">
      <w:pPr>
        <w:autoSpaceDE w:val="0"/>
        <w:autoSpaceDN w:val="0"/>
        <w:adjustRightInd w:val="0"/>
        <w:spacing w:line="360" w:lineRule="auto"/>
        <w:jc w:val="both"/>
        <w:rPr>
          <w:rFonts w:ascii="Arial" w:hAnsi="Arial" w:cs="Arial"/>
          <w:sz w:val="22"/>
          <w:szCs w:val="22"/>
          <w:lang w:val="en-GB"/>
        </w:rPr>
      </w:pPr>
    </w:p>
    <w:p w14:paraId="66744B63" w14:textId="6798E30F" w:rsidR="007D7FA1" w:rsidRPr="002E7169" w:rsidRDefault="007D7FA1" w:rsidP="002E7169">
      <w:pPr>
        <w:spacing w:line="360" w:lineRule="auto"/>
        <w:ind w:left="720"/>
        <w:jc w:val="both"/>
        <w:rPr>
          <w:rFonts w:ascii="Arial" w:hAnsi="Arial" w:cs="Arial"/>
          <w:color w:val="000000"/>
          <w:sz w:val="22"/>
          <w:szCs w:val="22"/>
          <w:lang w:val="en-GB"/>
        </w:rPr>
      </w:pPr>
      <w:r w:rsidRPr="002E7169">
        <w:rPr>
          <w:rFonts w:ascii="Arial" w:hAnsi="Arial" w:cs="Arial"/>
          <w:sz w:val="22"/>
          <w:szCs w:val="22"/>
          <w:lang w:val="en-GB"/>
        </w:rPr>
        <w:lastRenderedPageBreak/>
        <w:t>“</w:t>
      </w:r>
      <w:r w:rsidRPr="002E7169">
        <w:rPr>
          <w:rFonts w:ascii="Arial" w:hAnsi="Arial" w:cs="Arial"/>
          <w:color w:val="000000"/>
          <w:sz w:val="22"/>
          <w:szCs w:val="22"/>
          <w:lang w:val="en-GB"/>
        </w:rPr>
        <w:t>47.</w:t>
      </w:r>
      <w:r w:rsidR="00867E43" w:rsidRPr="002E7169">
        <w:rPr>
          <w:rFonts w:ascii="Arial" w:hAnsi="Arial" w:cs="Arial"/>
          <w:color w:val="000000"/>
          <w:sz w:val="22"/>
          <w:szCs w:val="22"/>
          <w:lang w:val="en-GB"/>
        </w:rPr>
        <w:t xml:space="preserve"> </w:t>
      </w:r>
      <w:r w:rsidRPr="002E7169">
        <w:rPr>
          <w:rFonts w:ascii="Arial" w:hAnsi="Arial" w:cs="Arial"/>
          <w:color w:val="000000"/>
          <w:sz w:val="22"/>
          <w:szCs w:val="22"/>
          <w:lang w:val="en-GB"/>
        </w:rPr>
        <w:t xml:space="preserve">The current case relates to alleged actions and inactions of EULEX Prosecutors at the pre-investigative stage. In this regard, no arguments have been brought forward that the case would not fall in principle under the Panel’s jurisdiction. </w:t>
      </w:r>
    </w:p>
    <w:p w14:paraId="167CFB9F" w14:textId="77777777" w:rsidR="007D7FA1" w:rsidRPr="002E7169" w:rsidRDefault="007D7FA1" w:rsidP="002E7169">
      <w:pPr>
        <w:spacing w:line="360" w:lineRule="auto"/>
        <w:ind w:left="720"/>
        <w:jc w:val="both"/>
        <w:rPr>
          <w:rFonts w:ascii="Arial" w:hAnsi="Arial" w:cs="Arial"/>
          <w:color w:val="000000"/>
          <w:sz w:val="22"/>
          <w:szCs w:val="22"/>
          <w:lang w:val="en-GB"/>
        </w:rPr>
      </w:pPr>
      <w:r w:rsidRPr="002E7169">
        <w:rPr>
          <w:rFonts w:ascii="Arial" w:hAnsi="Arial" w:cs="Arial"/>
          <w:color w:val="000000"/>
          <w:sz w:val="22"/>
          <w:szCs w:val="22"/>
          <w:lang w:val="en-GB"/>
        </w:rPr>
        <w:t xml:space="preserve">[…] </w:t>
      </w:r>
    </w:p>
    <w:p w14:paraId="53CDB064" w14:textId="77777777" w:rsidR="007D7FA1" w:rsidRPr="002E7169" w:rsidRDefault="007D7FA1" w:rsidP="002E7169">
      <w:pPr>
        <w:spacing w:line="360" w:lineRule="auto"/>
        <w:ind w:left="720"/>
        <w:jc w:val="both"/>
        <w:rPr>
          <w:rFonts w:ascii="Arial" w:hAnsi="Arial" w:cs="Arial"/>
          <w:color w:val="000000"/>
          <w:sz w:val="22"/>
          <w:szCs w:val="22"/>
          <w:lang w:val="en-GB"/>
        </w:rPr>
      </w:pPr>
      <w:r w:rsidRPr="002E7169">
        <w:rPr>
          <w:rFonts w:ascii="Arial" w:hAnsi="Arial" w:cs="Arial"/>
          <w:color w:val="000000"/>
          <w:sz w:val="22"/>
          <w:szCs w:val="22"/>
          <w:lang w:val="en-GB"/>
        </w:rPr>
        <w:t xml:space="preserve">50.The Panel stresses that it is not its task to evaluate the merits of a prosecutorial decision as such, related to the initiation of an investigation or the taking over of cases by EULEX prosecutors from Kosovo prosecutors. However, it appears that a formal decision in relation to the initiation of an investigation has never been taken. </w:t>
      </w:r>
    </w:p>
    <w:p w14:paraId="14F4DDEC" w14:textId="77777777" w:rsidR="007D7FA1" w:rsidRPr="002E7169" w:rsidRDefault="007D7FA1" w:rsidP="002E7169">
      <w:pPr>
        <w:spacing w:line="360" w:lineRule="auto"/>
        <w:ind w:left="720"/>
        <w:jc w:val="both"/>
        <w:rPr>
          <w:rFonts w:ascii="Arial" w:hAnsi="Arial" w:cs="Arial"/>
          <w:color w:val="000000"/>
          <w:sz w:val="22"/>
          <w:szCs w:val="22"/>
          <w:lang w:val="en-GB"/>
        </w:rPr>
      </w:pPr>
      <w:r w:rsidRPr="002E7169">
        <w:rPr>
          <w:rFonts w:ascii="Arial" w:hAnsi="Arial" w:cs="Arial"/>
          <w:color w:val="000000"/>
          <w:sz w:val="22"/>
          <w:szCs w:val="22"/>
          <w:lang w:val="en-GB"/>
        </w:rPr>
        <w:t>51.The Panel notes that it was submitted by EULEX that EULEX Prosecutors “</w:t>
      </w:r>
      <w:r w:rsidRPr="002E7169">
        <w:rPr>
          <w:rFonts w:ascii="Arial" w:hAnsi="Arial" w:cs="Arial"/>
          <w:i/>
          <w:color w:val="000000"/>
          <w:sz w:val="22"/>
          <w:szCs w:val="22"/>
          <w:lang w:val="en-GB"/>
        </w:rPr>
        <w:t>were not and still are not in possession of the necessary information concerning this case”</w:t>
      </w:r>
      <w:r w:rsidRPr="002E7169">
        <w:rPr>
          <w:rFonts w:ascii="Arial" w:hAnsi="Arial" w:cs="Arial"/>
          <w:color w:val="000000"/>
          <w:sz w:val="22"/>
          <w:szCs w:val="22"/>
          <w:lang w:val="en-GB"/>
        </w:rPr>
        <w:t xml:space="preserve"> (compare par. 33 above). The Panel cannot therefore accept the conclusion “</w:t>
      </w:r>
      <w:r w:rsidRPr="002E7169">
        <w:rPr>
          <w:rFonts w:ascii="Arial" w:hAnsi="Arial" w:cs="Arial"/>
          <w:i/>
          <w:color w:val="000000"/>
          <w:sz w:val="22"/>
          <w:szCs w:val="22"/>
          <w:lang w:val="en-GB"/>
        </w:rPr>
        <w:t>that in accordance to the assessment made by the Office of the Chief EULEX Prosecutor in its response to the issues raised by the Panel referred to that office by the EULEX Human Rights and Legal office, the alleged offences could not be categorized as a hate motivated crime</w:t>
      </w:r>
      <w:r w:rsidRPr="002E7169">
        <w:rPr>
          <w:rFonts w:ascii="Arial" w:hAnsi="Arial" w:cs="Arial"/>
          <w:color w:val="000000"/>
          <w:sz w:val="22"/>
          <w:szCs w:val="22"/>
          <w:lang w:val="en-GB"/>
        </w:rPr>
        <w:t xml:space="preserve">” (see pars. 29 to 32 above). </w:t>
      </w:r>
    </w:p>
    <w:p w14:paraId="10F2684D" w14:textId="77777777" w:rsidR="007D7FA1" w:rsidRPr="002E7169" w:rsidRDefault="007D7FA1" w:rsidP="002E7169">
      <w:pPr>
        <w:spacing w:line="360" w:lineRule="auto"/>
        <w:ind w:left="720"/>
        <w:jc w:val="both"/>
        <w:rPr>
          <w:rFonts w:ascii="Arial" w:hAnsi="Arial" w:cs="Arial"/>
          <w:sz w:val="22"/>
          <w:szCs w:val="22"/>
          <w:lang w:val="en-GB"/>
        </w:rPr>
      </w:pPr>
      <w:r w:rsidRPr="002E7169">
        <w:rPr>
          <w:rFonts w:ascii="Arial" w:hAnsi="Arial" w:cs="Arial"/>
          <w:color w:val="000000"/>
          <w:sz w:val="22"/>
          <w:szCs w:val="22"/>
          <w:lang w:val="en-GB"/>
        </w:rPr>
        <w:t>52.The Panel considers that, in the light of the parties’ submissions, the complaint raises serious issues of fact and law</w:t>
      </w:r>
      <w:r w:rsidRPr="002E7169">
        <w:rPr>
          <w:rFonts w:ascii="Arial" w:hAnsi="Arial" w:cs="Arial"/>
          <w:sz w:val="22"/>
          <w:szCs w:val="22"/>
        </w:rPr>
        <w:t xml:space="preserve"> pertaining to alleged </w:t>
      </w:r>
      <w:r w:rsidRPr="002E7169">
        <w:rPr>
          <w:rFonts w:ascii="Arial" w:hAnsi="Arial" w:cs="Arial"/>
          <w:color w:val="000000"/>
          <w:sz w:val="22"/>
          <w:szCs w:val="22"/>
        </w:rPr>
        <w:t>violations of human rights in relation to Articles 13 and 14 ECHR as well as Article 1 of Protocol 1 of the ECHR</w:t>
      </w:r>
      <w:r w:rsidRPr="002E7169">
        <w:rPr>
          <w:rFonts w:ascii="Arial" w:hAnsi="Arial" w:cs="Arial"/>
          <w:color w:val="000000"/>
          <w:sz w:val="22"/>
          <w:szCs w:val="22"/>
          <w:lang w:val="en-GB"/>
        </w:rPr>
        <w:t>, the determination of which requires an examination of the merits of the complaint.”</w:t>
      </w:r>
      <w:r w:rsidRPr="002E7169">
        <w:rPr>
          <w:rStyle w:val="FootnoteReference"/>
          <w:rFonts w:ascii="Arial" w:hAnsi="Arial" w:cs="Arial"/>
          <w:color w:val="000000"/>
          <w:sz w:val="22"/>
          <w:szCs w:val="22"/>
          <w:lang w:val="en-GB"/>
        </w:rPr>
        <w:footnoteReference w:id="32"/>
      </w:r>
    </w:p>
    <w:p w14:paraId="3E9802FA" w14:textId="77777777" w:rsidR="007D7FA1" w:rsidRPr="002E7169" w:rsidRDefault="007D7FA1" w:rsidP="002E7169">
      <w:pPr>
        <w:spacing w:line="360" w:lineRule="auto"/>
        <w:jc w:val="both"/>
        <w:rPr>
          <w:rFonts w:ascii="Arial" w:hAnsi="Arial" w:cs="Arial"/>
          <w:sz w:val="22"/>
          <w:szCs w:val="22"/>
          <w:lang w:val="en-GB"/>
        </w:rPr>
      </w:pPr>
    </w:p>
    <w:p w14:paraId="68B702B7" w14:textId="77777777" w:rsidR="007D7FA1" w:rsidRPr="002E7169" w:rsidRDefault="007D7FA1" w:rsidP="002E7169">
      <w:pPr>
        <w:spacing w:line="360" w:lineRule="auto"/>
        <w:jc w:val="both"/>
        <w:rPr>
          <w:rFonts w:ascii="Arial" w:hAnsi="Arial" w:cs="Arial"/>
          <w:sz w:val="22"/>
          <w:szCs w:val="22"/>
          <w:lang w:val="en-GB"/>
        </w:rPr>
      </w:pPr>
      <w:r w:rsidRPr="002E7169">
        <w:rPr>
          <w:rFonts w:ascii="Arial" w:hAnsi="Arial" w:cs="Arial"/>
          <w:sz w:val="22"/>
          <w:szCs w:val="22"/>
          <w:lang w:val="en-GB"/>
        </w:rPr>
        <w:t>When deciding on the merits of the said case, the Panel found that the lack of action by EULEX did amount to a violation of the rights of the complainant:</w:t>
      </w:r>
    </w:p>
    <w:p w14:paraId="4FF014C6" w14:textId="77777777" w:rsidR="007D7FA1" w:rsidRPr="002E7169" w:rsidRDefault="007D7FA1" w:rsidP="002E7169">
      <w:pPr>
        <w:autoSpaceDE w:val="0"/>
        <w:autoSpaceDN w:val="0"/>
        <w:adjustRightInd w:val="0"/>
        <w:spacing w:line="360" w:lineRule="auto"/>
        <w:rPr>
          <w:rFonts w:ascii="Arial" w:hAnsi="Arial" w:cs="Arial"/>
          <w:color w:val="000000"/>
          <w:sz w:val="22"/>
          <w:szCs w:val="22"/>
        </w:rPr>
      </w:pPr>
    </w:p>
    <w:p w14:paraId="4859D828" w14:textId="77777777" w:rsidR="007D7FA1" w:rsidRPr="002E7169" w:rsidRDefault="007D7FA1" w:rsidP="002E7169">
      <w:pPr>
        <w:autoSpaceDE w:val="0"/>
        <w:autoSpaceDN w:val="0"/>
        <w:adjustRightInd w:val="0"/>
        <w:spacing w:line="360" w:lineRule="auto"/>
        <w:ind w:left="720"/>
        <w:jc w:val="both"/>
        <w:rPr>
          <w:rFonts w:ascii="Arial" w:hAnsi="Arial" w:cs="Arial"/>
          <w:color w:val="000000"/>
          <w:sz w:val="22"/>
          <w:szCs w:val="22"/>
        </w:rPr>
      </w:pPr>
      <w:r w:rsidRPr="002E7169">
        <w:rPr>
          <w:rFonts w:ascii="Arial" w:hAnsi="Arial" w:cs="Arial"/>
          <w:color w:val="000000"/>
          <w:sz w:val="22"/>
          <w:szCs w:val="22"/>
        </w:rPr>
        <w:t xml:space="preserve">“58. The Panel’s assessment solely concentrates on EULEX’s obligation to register and to make an initial assessment of such human rights complaints brought to its attention which can arguably be said to impinge on the exercise of its executive mandate. This did not happen in the current case. While EULEX commends the actions taken by the EULEX Property Rights Coordinator, it stresses, that those do not constitute an effective remedy and do not replace a thorough assessment by EULEX prosecutors, especially as the EULEX </w:t>
      </w:r>
      <w:r w:rsidRPr="002E7169">
        <w:rPr>
          <w:rFonts w:ascii="Arial" w:hAnsi="Arial" w:cs="Arial"/>
          <w:color w:val="000000"/>
          <w:sz w:val="22"/>
          <w:szCs w:val="22"/>
        </w:rPr>
        <w:lastRenderedPageBreak/>
        <w:t xml:space="preserve">Property Rights Coordinator has mainly a coordinating role but no executive powers. </w:t>
      </w:r>
    </w:p>
    <w:p w14:paraId="39C64369" w14:textId="77777777" w:rsidR="007D7FA1" w:rsidRPr="002E7169" w:rsidRDefault="007D7FA1" w:rsidP="002E7169">
      <w:pPr>
        <w:autoSpaceDE w:val="0"/>
        <w:autoSpaceDN w:val="0"/>
        <w:adjustRightInd w:val="0"/>
        <w:spacing w:line="360" w:lineRule="auto"/>
        <w:ind w:left="720"/>
        <w:jc w:val="both"/>
        <w:rPr>
          <w:rFonts w:ascii="Arial" w:hAnsi="Arial" w:cs="Arial"/>
          <w:color w:val="000000"/>
          <w:sz w:val="22"/>
          <w:szCs w:val="22"/>
        </w:rPr>
      </w:pPr>
      <w:r w:rsidRPr="002E7169">
        <w:rPr>
          <w:rFonts w:ascii="Arial" w:hAnsi="Arial" w:cs="Arial"/>
          <w:color w:val="000000"/>
          <w:sz w:val="22"/>
          <w:szCs w:val="22"/>
        </w:rPr>
        <w:t>59. The fact that the judicial mechanisms in Kosovo ultimately functioned which led to the sentencing of the usurper and the restitution of the complainants’ property does not absolve EULEX Kosovo from its own obligations, in particular, its obligation to diligently record and, in turn, duly register grievances formally brought and communicate them to the competent bodies within the mission. In the present case the failure to do so precluded a timely assessment of the case by EULEX.</w:t>
      </w:r>
    </w:p>
    <w:p w14:paraId="0614D490" w14:textId="77777777" w:rsidR="007D7FA1" w:rsidRPr="002E7169" w:rsidRDefault="007D7FA1" w:rsidP="002E7169">
      <w:pPr>
        <w:autoSpaceDE w:val="0"/>
        <w:autoSpaceDN w:val="0"/>
        <w:adjustRightInd w:val="0"/>
        <w:spacing w:line="360" w:lineRule="auto"/>
        <w:ind w:left="720"/>
        <w:jc w:val="both"/>
        <w:rPr>
          <w:rFonts w:ascii="Arial" w:hAnsi="Arial" w:cs="Arial"/>
          <w:color w:val="000000"/>
          <w:sz w:val="22"/>
          <w:szCs w:val="22"/>
        </w:rPr>
      </w:pPr>
      <w:r w:rsidRPr="002E7169">
        <w:rPr>
          <w:rFonts w:ascii="Arial" w:hAnsi="Arial" w:cs="Arial"/>
          <w:color w:val="000000"/>
          <w:sz w:val="22"/>
          <w:szCs w:val="22"/>
        </w:rPr>
        <w:t>60. The failure of EULEX at the time to put in place a reliable system of recording and registering complaints involving allegations of violations of rights resulted in the case of the complainant remaining dormant for a period of approximately two years and nine months. During that period, EULEX was therefore not diligently discharging its mandate in relation to that complaint. The fact that the Kosovo authorities were also competent in relation to this matter does not discharge EULEX of its own obligations to act at all times in a manner that is consistent with minimum standards of human rights.”</w:t>
      </w:r>
      <w:r w:rsidRPr="002E7169">
        <w:rPr>
          <w:rStyle w:val="FootnoteReference"/>
          <w:rFonts w:ascii="Arial" w:hAnsi="Arial" w:cs="Arial"/>
          <w:color w:val="000000"/>
          <w:sz w:val="22"/>
          <w:szCs w:val="22"/>
        </w:rPr>
        <w:footnoteReference w:id="33"/>
      </w:r>
      <w:r w:rsidRPr="002E7169">
        <w:rPr>
          <w:rFonts w:ascii="Arial" w:hAnsi="Arial" w:cs="Arial"/>
          <w:color w:val="000000"/>
          <w:sz w:val="22"/>
          <w:szCs w:val="22"/>
        </w:rPr>
        <w:t xml:space="preserve"> </w:t>
      </w:r>
    </w:p>
    <w:p w14:paraId="682B3B60" w14:textId="77777777" w:rsidR="007D7FA1" w:rsidRPr="002E7169" w:rsidRDefault="007D7FA1" w:rsidP="002E7169">
      <w:pPr>
        <w:suppressAutoHyphens/>
        <w:autoSpaceDE w:val="0"/>
        <w:spacing w:line="360" w:lineRule="auto"/>
        <w:jc w:val="both"/>
        <w:rPr>
          <w:rFonts w:ascii="Arial" w:hAnsi="Arial" w:cs="Arial"/>
          <w:sz w:val="22"/>
          <w:szCs w:val="22"/>
        </w:rPr>
      </w:pPr>
    </w:p>
    <w:p w14:paraId="23F24EC2" w14:textId="49D81BA6" w:rsidR="00674489" w:rsidRPr="002E7169" w:rsidRDefault="00674489" w:rsidP="002E7169">
      <w:pPr>
        <w:suppressAutoHyphens/>
        <w:autoSpaceDE w:val="0"/>
        <w:spacing w:line="360" w:lineRule="auto"/>
        <w:jc w:val="both"/>
        <w:rPr>
          <w:rFonts w:ascii="Arial" w:hAnsi="Arial" w:cs="Arial"/>
          <w:b/>
          <w:sz w:val="22"/>
          <w:szCs w:val="22"/>
        </w:rPr>
      </w:pPr>
      <w:r w:rsidRPr="002E7169">
        <w:rPr>
          <w:rFonts w:ascii="Arial" w:hAnsi="Arial" w:cs="Arial"/>
          <w:b/>
          <w:sz w:val="22"/>
          <w:szCs w:val="22"/>
        </w:rPr>
        <w:t xml:space="preserve">Refusal to act as basis of competence </w:t>
      </w:r>
    </w:p>
    <w:p w14:paraId="5D91D260" w14:textId="77777777" w:rsidR="007D7FA1" w:rsidRPr="002E7169" w:rsidRDefault="007D7FA1" w:rsidP="002E7169">
      <w:pPr>
        <w:suppressAutoHyphens/>
        <w:autoSpaceDE w:val="0"/>
        <w:spacing w:line="360" w:lineRule="auto"/>
        <w:jc w:val="both"/>
        <w:rPr>
          <w:rFonts w:ascii="Arial" w:hAnsi="Arial" w:cs="Arial"/>
          <w:sz w:val="22"/>
          <w:szCs w:val="22"/>
        </w:rPr>
      </w:pPr>
      <w:r w:rsidRPr="002E7169">
        <w:rPr>
          <w:rFonts w:ascii="Arial" w:hAnsi="Arial" w:cs="Arial"/>
          <w:sz w:val="22"/>
          <w:szCs w:val="22"/>
        </w:rPr>
        <w:t xml:space="preserve">Similarly, the refusal of EULEX prosecutor to take over the responsibility of a case could trigger the responsibility of the mission: </w:t>
      </w:r>
    </w:p>
    <w:p w14:paraId="3E409A6C" w14:textId="77777777" w:rsidR="007D7FA1" w:rsidRPr="002E7169" w:rsidRDefault="007D7FA1" w:rsidP="002E7169">
      <w:pPr>
        <w:suppressAutoHyphens/>
        <w:autoSpaceDE w:val="0"/>
        <w:spacing w:line="360" w:lineRule="auto"/>
        <w:ind w:left="720"/>
        <w:jc w:val="both"/>
        <w:rPr>
          <w:rFonts w:ascii="Arial" w:hAnsi="Arial" w:cs="Arial"/>
          <w:color w:val="000000"/>
          <w:sz w:val="22"/>
          <w:szCs w:val="22"/>
        </w:rPr>
      </w:pPr>
      <w:r w:rsidRPr="002E7169">
        <w:rPr>
          <w:rFonts w:ascii="Arial" w:hAnsi="Arial" w:cs="Arial"/>
          <w:sz w:val="22"/>
          <w:szCs w:val="22"/>
        </w:rPr>
        <w:t>“23.</w:t>
      </w:r>
      <w:r w:rsidRPr="002E7169">
        <w:rPr>
          <w:rFonts w:ascii="Arial" w:hAnsi="Arial" w:cs="Arial"/>
          <w:color w:val="000000"/>
          <w:sz w:val="22"/>
          <w:szCs w:val="22"/>
        </w:rPr>
        <w:t xml:space="preserve">However, in the present case it is not a decision of a EULEX prosecutor given in the context of an investigation of a case which is concerned, but a refusal to take over the investigation. </w:t>
      </w:r>
    </w:p>
    <w:p w14:paraId="4F70EA24" w14:textId="77777777" w:rsidR="007D7FA1" w:rsidRPr="002E7169" w:rsidRDefault="007D7FA1" w:rsidP="002E7169">
      <w:pPr>
        <w:autoSpaceDE w:val="0"/>
        <w:autoSpaceDN w:val="0"/>
        <w:adjustRightInd w:val="0"/>
        <w:spacing w:line="360" w:lineRule="auto"/>
        <w:ind w:left="720"/>
        <w:jc w:val="both"/>
        <w:rPr>
          <w:rFonts w:ascii="Arial" w:hAnsi="Arial" w:cs="Arial"/>
          <w:sz w:val="22"/>
          <w:szCs w:val="22"/>
          <w:lang w:val="en-GB"/>
        </w:rPr>
      </w:pPr>
      <w:r w:rsidRPr="002E7169">
        <w:rPr>
          <w:rFonts w:ascii="Arial" w:hAnsi="Arial" w:cs="Arial"/>
          <w:color w:val="000000"/>
          <w:sz w:val="22"/>
          <w:szCs w:val="22"/>
        </w:rPr>
        <w:t>24. In this connection, the Panel finds that the complainant’s case, concerning taxation matters, manifestly does not fall within the ambit of cases which can be taken over by EULEX prosecutors within the meaning of the Law on Jurisdiction. A decision to that effect is also at the discretion of the EULEX prosecutor and as such it cannot be subject to examination by the Panel.”</w:t>
      </w:r>
      <w:r w:rsidRPr="002E7169">
        <w:rPr>
          <w:rStyle w:val="FootnoteReference"/>
          <w:rFonts w:ascii="Arial" w:hAnsi="Arial" w:cs="Arial"/>
          <w:sz w:val="22"/>
          <w:szCs w:val="22"/>
          <w:lang w:val="en-GB"/>
        </w:rPr>
        <w:t xml:space="preserve"> </w:t>
      </w:r>
      <w:r w:rsidRPr="002E7169">
        <w:rPr>
          <w:rStyle w:val="FootnoteReference"/>
          <w:rFonts w:ascii="Arial" w:hAnsi="Arial" w:cs="Arial"/>
          <w:sz w:val="22"/>
          <w:szCs w:val="22"/>
          <w:lang w:val="en-GB"/>
        </w:rPr>
        <w:footnoteReference w:id="34"/>
      </w:r>
    </w:p>
    <w:p w14:paraId="39D336CD" w14:textId="77777777" w:rsidR="007D7FA1" w:rsidRPr="002E7169" w:rsidRDefault="007D7FA1" w:rsidP="002E7169">
      <w:pPr>
        <w:autoSpaceDE w:val="0"/>
        <w:autoSpaceDN w:val="0"/>
        <w:adjustRightInd w:val="0"/>
        <w:spacing w:line="360" w:lineRule="auto"/>
        <w:rPr>
          <w:rFonts w:ascii="Arial" w:hAnsi="Arial" w:cs="Arial"/>
          <w:sz w:val="22"/>
          <w:szCs w:val="22"/>
          <w:lang w:val="en-GB"/>
        </w:rPr>
      </w:pPr>
    </w:p>
    <w:p w14:paraId="02A99A02" w14:textId="08DAEB3B" w:rsidR="00674489" w:rsidRPr="002E7169" w:rsidRDefault="00674489" w:rsidP="002E7169">
      <w:pPr>
        <w:autoSpaceDE w:val="0"/>
        <w:autoSpaceDN w:val="0"/>
        <w:adjustRightInd w:val="0"/>
        <w:spacing w:line="360" w:lineRule="auto"/>
        <w:rPr>
          <w:rFonts w:ascii="Arial" w:hAnsi="Arial" w:cs="Arial"/>
          <w:b/>
          <w:sz w:val="22"/>
          <w:szCs w:val="22"/>
          <w:lang w:val="en-GB"/>
        </w:rPr>
      </w:pPr>
      <w:r w:rsidRPr="002E7169">
        <w:rPr>
          <w:rFonts w:ascii="Arial" w:hAnsi="Arial" w:cs="Arial"/>
          <w:b/>
          <w:sz w:val="22"/>
          <w:szCs w:val="22"/>
          <w:lang w:val="en-GB"/>
        </w:rPr>
        <w:t xml:space="preserve">Lack of specificity and clarity of investigative file </w:t>
      </w:r>
    </w:p>
    <w:p w14:paraId="76EA3A80" w14:textId="77777777" w:rsidR="007D7FA1" w:rsidRPr="002E7169" w:rsidRDefault="007D7FA1" w:rsidP="002E7169">
      <w:pPr>
        <w:autoSpaceDE w:val="0"/>
        <w:autoSpaceDN w:val="0"/>
        <w:adjustRightInd w:val="0"/>
        <w:spacing w:line="360" w:lineRule="auto"/>
        <w:rPr>
          <w:rFonts w:ascii="Arial" w:hAnsi="Arial" w:cs="Arial"/>
          <w:color w:val="000000"/>
          <w:sz w:val="22"/>
          <w:szCs w:val="22"/>
        </w:rPr>
      </w:pPr>
      <w:r w:rsidRPr="002E7169">
        <w:rPr>
          <w:rFonts w:ascii="Arial" w:hAnsi="Arial" w:cs="Arial"/>
          <w:color w:val="000000"/>
          <w:sz w:val="22"/>
          <w:szCs w:val="22"/>
        </w:rPr>
        <w:t xml:space="preserve">The lack of specificity or clarity of the investigative file could similarly amount to a violation of rights that could trigger the responsibility of the Mission by reason of the acts and failures of the investigative authorities: </w:t>
      </w:r>
    </w:p>
    <w:p w14:paraId="12D32D26" w14:textId="77777777" w:rsidR="007D7FA1" w:rsidRPr="002E7169" w:rsidRDefault="007D7FA1" w:rsidP="002E7169">
      <w:pPr>
        <w:suppressAutoHyphens/>
        <w:autoSpaceDE w:val="0"/>
        <w:spacing w:line="360" w:lineRule="auto"/>
        <w:ind w:left="720"/>
        <w:jc w:val="both"/>
        <w:rPr>
          <w:rFonts w:ascii="Arial" w:hAnsi="Arial" w:cs="Arial"/>
          <w:color w:val="000000"/>
          <w:sz w:val="22"/>
          <w:szCs w:val="22"/>
        </w:rPr>
      </w:pPr>
    </w:p>
    <w:p w14:paraId="4A77CCF7" w14:textId="554E52A1" w:rsidR="007D7FA1" w:rsidRPr="002E7169" w:rsidRDefault="007D7FA1" w:rsidP="002E7169">
      <w:pPr>
        <w:spacing w:line="360" w:lineRule="auto"/>
        <w:ind w:left="720"/>
        <w:jc w:val="both"/>
        <w:rPr>
          <w:rFonts w:ascii="Arial" w:hAnsi="Arial" w:cs="Arial"/>
          <w:sz w:val="22"/>
          <w:szCs w:val="22"/>
          <w:lang w:val="en-GB"/>
        </w:rPr>
      </w:pPr>
      <w:r w:rsidRPr="002E7169">
        <w:rPr>
          <w:rFonts w:ascii="Arial" w:hAnsi="Arial" w:cs="Arial"/>
          <w:sz w:val="22"/>
          <w:szCs w:val="22"/>
          <w:lang w:val="en-GB"/>
        </w:rPr>
        <w:t xml:space="preserve"> “14.</w:t>
      </w:r>
      <w:r w:rsidR="00CD44F6" w:rsidRPr="002E7169">
        <w:rPr>
          <w:rFonts w:ascii="Arial" w:hAnsi="Arial" w:cs="Arial"/>
          <w:sz w:val="22"/>
          <w:szCs w:val="22"/>
          <w:lang w:val="en-GB"/>
        </w:rPr>
        <w:t xml:space="preserve"> </w:t>
      </w:r>
      <w:r w:rsidRPr="002E7169">
        <w:rPr>
          <w:rFonts w:ascii="Arial" w:hAnsi="Arial" w:cs="Arial"/>
          <w:sz w:val="22"/>
          <w:szCs w:val="22"/>
          <w:lang w:val="en-GB"/>
        </w:rPr>
        <w:t xml:space="preserve">The Panel notes that prosecuting authorities collected evidence from various sources, through questioning of witnesses and from financial experts as well as through the review of unidentified physical evidence. </w:t>
      </w:r>
    </w:p>
    <w:p w14:paraId="70FF087A" w14:textId="77777777" w:rsidR="007D7FA1" w:rsidRPr="002E7169" w:rsidRDefault="007D7FA1" w:rsidP="002E7169">
      <w:pPr>
        <w:spacing w:line="360" w:lineRule="auto"/>
        <w:ind w:left="720"/>
        <w:jc w:val="both"/>
        <w:rPr>
          <w:rFonts w:ascii="Arial" w:hAnsi="Arial" w:cs="Arial"/>
          <w:sz w:val="22"/>
          <w:szCs w:val="22"/>
          <w:lang w:val="en-GB"/>
        </w:rPr>
      </w:pPr>
      <w:r w:rsidRPr="002E7169">
        <w:rPr>
          <w:rFonts w:ascii="Arial" w:hAnsi="Arial" w:cs="Arial"/>
          <w:sz w:val="22"/>
          <w:szCs w:val="22"/>
          <w:lang w:val="en-GB"/>
        </w:rPr>
        <w:t>15.The Panel notes, however, that the prosecutor’s decision of 21 December 2012 does not enable the Panel to ascertain what facts were established by the prosecuting authorities on the basis of the evidence available to them.  For instance, no findings of fact were made as to whether the trees had actually been planted as planned and whether the school playground had been arranged or not. No other findings of fact were made in relation to the charges of corruption. Nor has it been explained how the provisions of substantive law were applied by the prosecution to the circumstances of the case and what was the reasoning which had led the prosecuting authority to its legal assessment that no criminal offence had been committed.”</w:t>
      </w:r>
      <w:r w:rsidRPr="002E7169">
        <w:rPr>
          <w:rStyle w:val="FootnoteReference"/>
          <w:rFonts w:ascii="Arial" w:hAnsi="Arial" w:cs="Arial"/>
          <w:sz w:val="22"/>
          <w:szCs w:val="22"/>
          <w:lang w:val="en-GB"/>
        </w:rPr>
        <w:footnoteReference w:id="35"/>
      </w:r>
    </w:p>
    <w:p w14:paraId="02F52DFB" w14:textId="77777777" w:rsidR="007D7FA1" w:rsidRPr="002E7169" w:rsidRDefault="007D7FA1" w:rsidP="002E7169">
      <w:pPr>
        <w:spacing w:line="360" w:lineRule="auto"/>
        <w:jc w:val="both"/>
        <w:rPr>
          <w:rFonts w:ascii="Arial" w:hAnsi="Arial" w:cs="Arial"/>
          <w:sz w:val="22"/>
          <w:szCs w:val="22"/>
          <w:lang w:val="en-GB"/>
        </w:rPr>
      </w:pPr>
    </w:p>
    <w:p w14:paraId="517EE2A5" w14:textId="57713D49" w:rsidR="00674489" w:rsidRPr="002E7169" w:rsidRDefault="00674489" w:rsidP="002E7169">
      <w:pPr>
        <w:spacing w:line="360" w:lineRule="auto"/>
        <w:jc w:val="both"/>
        <w:rPr>
          <w:rFonts w:ascii="Arial" w:hAnsi="Arial" w:cs="Arial"/>
          <w:b/>
          <w:sz w:val="22"/>
          <w:szCs w:val="22"/>
          <w:lang w:val="en-GB"/>
        </w:rPr>
      </w:pPr>
      <w:r w:rsidRPr="002E7169">
        <w:rPr>
          <w:rFonts w:ascii="Arial" w:hAnsi="Arial" w:cs="Arial"/>
          <w:b/>
          <w:sz w:val="22"/>
          <w:szCs w:val="22"/>
          <w:lang w:val="en-GB"/>
        </w:rPr>
        <w:t>Standard of arbitrariness and reasonableness as being relevant to evaluating the actions of the Prosecutor</w:t>
      </w:r>
    </w:p>
    <w:p w14:paraId="12F19AD4" w14:textId="7B949305" w:rsidR="007D7FA1" w:rsidRPr="002E7169" w:rsidRDefault="007D7FA1" w:rsidP="002E7169">
      <w:pPr>
        <w:tabs>
          <w:tab w:val="left" w:pos="3360"/>
        </w:tabs>
        <w:spacing w:line="360" w:lineRule="auto"/>
        <w:jc w:val="both"/>
        <w:rPr>
          <w:rFonts w:ascii="Arial" w:hAnsi="Arial" w:cs="Arial"/>
          <w:sz w:val="22"/>
          <w:szCs w:val="22"/>
          <w:lang w:val="en-GB"/>
        </w:rPr>
      </w:pPr>
      <w:r w:rsidRPr="002E7169">
        <w:rPr>
          <w:rFonts w:ascii="Arial" w:hAnsi="Arial" w:cs="Arial"/>
          <w:sz w:val="22"/>
          <w:szCs w:val="22"/>
          <w:lang w:val="en-GB"/>
        </w:rPr>
        <w:t>In order to evaluate the propriety of the Prosecutor’s conduct in a particular case, the Panel conducted a thorough review of the information communicated by the parties with a view to determine whether the prosecutor had acted arbitrarily or unreasonably in that particular case:</w:t>
      </w:r>
      <w:r w:rsidR="00674489" w:rsidRPr="002E7169">
        <w:rPr>
          <w:rStyle w:val="FootnoteReference"/>
          <w:rFonts w:ascii="Arial" w:hAnsi="Arial" w:cs="Arial"/>
          <w:sz w:val="22"/>
          <w:szCs w:val="22"/>
          <w:lang w:val="en-GB"/>
        </w:rPr>
        <w:footnoteReference w:id="36"/>
      </w:r>
      <w:r w:rsidRPr="002E7169">
        <w:rPr>
          <w:rFonts w:ascii="Arial" w:hAnsi="Arial" w:cs="Arial"/>
          <w:sz w:val="22"/>
          <w:szCs w:val="22"/>
          <w:lang w:val="en-GB"/>
        </w:rPr>
        <w:t xml:space="preserve"> </w:t>
      </w:r>
    </w:p>
    <w:p w14:paraId="59CD63AD" w14:textId="77777777" w:rsidR="007D7FA1" w:rsidRPr="002E7169" w:rsidRDefault="007D7FA1" w:rsidP="002E7169">
      <w:pPr>
        <w:suppressAutoHyphens/>
        <w:autoSpaceDE w:val="0"/>
        <w:spacing w:line="360" w:lineRule="auto"/>
        <w:jc w:val="both"/>
        <w:rPr>
          <w:rFonts w:ascii="Arial" w:hAnsi="Arial" w:cs="Arial"/>
          <w:sz w:val="22"/>
          <w:szCs w:val="22"/>
          <w:lang w:val="en-GB"/>
        </w:rPr>
      </w:pPr>
    </w:p>
    <w:p w14:paraId="3775B838" w14:textId="78970957" w:rsidR="007D7FA1" w:rsidRPr="002E7169" w:rsidRDefault="007D7FA1" w:rsidP="002E7169">
      <w:pPr>
        <w:suppressAutoHyphens/>
        <w:autoSpaceDE w:val="0"/>
        <w:spacing w:line="360" w:lineRule="auto"/>
        <w:ind w:left="720"/>
        <w:jc w:val="both"/>
        <w:rPr>
          <w:rFonts w:ascii="Arial" w:hAnsi="Arial" w:cs="Arial"/>
          <w:sz w:val="22"/>
          <w:szCs w:val="22"/>
          <w:lang w:val="en-GB"/>
        </w:rPr>
      </w:pPr>
      <w:r w:rsidRPr="002E7169">
        <w:rPr>
          <w:rFonts w:ascii="Arial" w:hAnsi="Arial" w:cs="Arial"/>
          <w:sz w:val="22"/>
          <w:szCs w:val="22"/>
          <w:lang w:val="en-GB"/>
        </w:rPr>
        <w:t>“14.</w:t>
      </w:r>
      <w:r w:rsidR="00CD44F6" w:rsidRPr="002E7169">
        <w:rPr>
          <w:rFonts w:ascii="Arial" w:hAnsi="Arial" w:cs="Arial"/>
          <w:sz w:val="22"/>
          <w:szCs w:val="22"/>
          <w:lang w:val="en-GB"/>
        </w:rPr>
        <w:t xml:space="preserve"> </w:t>
      </w:r>
      <w:r w:rsidRPr="002E7169">
        <w:rPr>
          <w:rFonts w:ascii="Arial" w:hAnsi="Arial" w:cs="Arial"/>
          <w:sz w:val="22"/>
          <w:szCs w:val="22"/>
          <w:lang w:val="en-GB"/>
        </w:rPr>
        <w:t>As regards the present case, the Panel notes the EULEX Prosecutor’s statement that the (local) prosecuting authorities conducted “all necessary actions” in this case.</w:t>
      </w:r>
    </w:p>
    <w:p w14:paraId="3A29040D" w14:textId="77777777" w:rsidR="007D7FA1" w:rsidRPr="002E7169" w:rsidRDefault="007D7FA1" w:rsidP="002E7169">
      <w:pPr>
        <w:suppressAutoHyphens/>
        <w:autoSpaceDE w:val="0"/>
        <w:spacing w:line="360" w:lineRule="auto"/>
        <w:ind w:left="720"/>
        <w:jc w:val="both"/>
        <w:rPr>
          <w:rFonts w:ascii="Arial" w:hAnsi="Arial" w:cs="Arial"/>
          <w:sz w:val="22"/>
          <w:szCs w:val="22"/>
          <w:lang w:val="en-GB"/>
        </w:rPr>
      </w:pPr>
      <w:r w:rsidRPr="002E7169">
        <w:rPr>
          <w:rFonts w:ascii="Arial" w:hAnsi="Arial" w:cs="Arial"/>
          <w:sz w:val="22"/>
          <w:szCs w:val="22"/>
          <w:lang w:val="en-GB"/>
        </w:rPr>
        <w:t xml:space="preserve">15.The Panel notes that the EULEX prosecuting authorities reviewed the case twice and decided not to investigate the case. While it would be commendable to provide the reasons for declining to take over a case, the Panel notes the decisions of the Kosovo State Prosecutor who decided, having examined the complainant’s allegations, that no criminal offence of causing general danger had been committed. </w:t>
      </w:r>
    </w:p>
    <w:p w14:paraId="528D3A0B" w14:textId="77777777" w:rsidR="007D7FA1" w:rsidRPr="002E7169" w:rsidRDefault="007D7FA1" w:rsidP="002E7169">
      <w:pPr>
        <w:suppressAutoHyphens/>
        <w:autoSpaceDE w:val="0"/>
        <w:spacing w:line="360" w:lineRule="auto"/>
        <w:ind w:left="720"/>
        <w:jc w:val="both"/>
        <w:rPr>
          <w:rFonts w:ascii="Arial" w:hAnsi="Arial" w:cs="Arial"/>
          <w:sz w:val="22"/>
          <w:szCs w:val="22"/>
          <w:lang w:val="en-GB"/>
        </w:rPr>
      </w:pPr>
      <w:r w:rsidRPr="002E7169">
        <w:rPr>
          <w:rFonts w:ascii="Arial" w:hAnsi="Arial" w:cs="Arial"/>
          <w:sz w:val="22"/>
          <w:szCs w:val="22"/>
          <w:lang w:val="en-GB"/>
        </w:rPr>
        <w:t xml:space="preserve">16.Therefore, the Panel cannot conclude that those decisions were taken by EULEX Prosecutors arbitrarily. Further, it cannot be concluded on the basis of information available to the Panel, that the alleged criminal offence would fall </w:t>
      </w:r>
      <w:r w:rsidRPr="002E7169">
        <w:rPr>
          <w:rFonts w:ascii="Arial" w:hAnsi="Arial" w:cs="Arial"/>
          <w:sz w:val="22"/>
          <w:szCs w:val="22"/>
          <w:lang w:val="en-GB"/>
        </w:rPr>
        <w:lastRenderedPageBreak/>
        <w:t xml:space="preserve">under the authority of EULEX Prosecutors under the Law on the Jurisdiction, Case selection and Case allocation of EULEX Judges and Prosecutors. Lastly, the Panel notes that the EULEX Prosecutor informed the complainant about the possibility of submitting his complaint about the alleged failure of the Kosovo Police to act to the Police Directorate of Kosovo.” </w:t>
      </w:r>
      <w:r w:rsidRPr="002E7169">
        <w:rPr>
          <w:rStyle w:val="FootnoteReference"/>
          <w:rFonts w:ascii="Arial" w:hAnsi="Arial" w:cs="Arial"/>
          <w:sz w:val="22"/>
          <w:szCs w:val="22"/>
          <w:lang w:val="en-GB"/>
        </w:rPr>
        <w:footnoteReference w:id="37"/>
      </w:r>
      <w:r w:rsidRPr="002E7169">
        <w:rPr>
          <w:rFonts w:ascii="Arial" w:hAnsi="Arial" w:cs="Arial"/>
          <w:sz w:val="22"/>
          <w:szCs w:val="22"/>
          <w:lang w:val="en-GB"/>
        </w:rPr>
        <w:t xml:space="preserve"> </w:t>
      </w:r>
    </w:p>
    <w:p w14:paraId="0EF8913D" w14:textId="77777777" w:rsidR="007D7FA1" w:rsidRPr="002E7169" w:rsidRDefault="007D7FA1" w:rsidP="002E7169">
      <w:pPr>
        <w:spacing w:line="360" w:lineRule="auto"/>
        <w:jc w:val="both"/>
        <w:rPr>
          <w:rFonts w:ascii="Arial" w:hAnsi="Arial" w:cs="Arial"/>
          <w:sz w:val="22"/>
          <w:szCs w:val="22"/>
          <w:lang w:val="en-GB"/>
        </w:rPr>
      </w:pPr>
    </w:p>
    <w:p w14:paraId="2A6F4585" w14:textId="5DB9629D" w:rsidR="00674489" w:rsidRPr="002E7169" w:rsidRDefault="00674489" w:rsidP="002E7169">
      <w:pPr>
        <w:spacing w:line="360" w:lineRule="auto"/>
        <w:jc w:val="both"/>
        <w:rPr>
          <w:rFonts w:ascii="Arial" w:hAnsi="Arial" w:cs="Arial"/>
          <w:b/>
          <w:sz w:val="22"/>
          <w:szCs w:val="22"/>
          <w:lang w:val="en-GB"/>
        </w:rPr>
      </w:pPr>
      <w:r w:rsidRPr="002E7169">
        <w:rPr>
          <w:rFonts w:ascii="Arial" w:hAnsi="Arial" w:cs="Arial"/>
          <w:b/>
          <w:sz w:val="22"/>
          <w:szCs w:val="22"/>
          <w:lang w:val="en-GB"/>
        </w:rPr>
        <w:t xml:space="preserve">Constructive competence and responsibility of the Mission </w:t>
      </w:r>
    </w:p>
    <w:p w14:paraId="70E89172" w14:textId="77777777" w:rsidR="007D7FA1" w:rsidRPr="002E7169" w:rsidRDefault="007D7FA1" w:rsidP="002E7169">
      <w:pPr>
        <w:spacing w:line="360" w:lineRule="auto"/>
        <w:jc w:val="both"/>
        <w:rPr>
          <w:rFonts w:ascii="Arial" w:hAnsi="Arial" w:cs="Arial"/>
          <w:sz w:val="22"/>
          <w:szCs w:val="22"/>
          <w:lang w:val="en-GB"/>
        </w:rPr>
      </w:pPr>
      <w:r w:rsidRPr="002E7169">
        <w:rPr>
          <w:rFonts w:ascii="Arial" w:hAnsi="Arial" w:cs="Arial"/>
          <w:sz w:val="22"/>
          <w:szCs w:val="22"/>
          <w:lang w:val="en-GB"/>
        </w:rPr>
        <w:t>The Panel also determined that a matter could be said to be constructively within the competence of EULEX prosecutors where information pertaining to a case was within their reach in the diligent exercise of their duties and that a failure to act upon it could constitute a possible basis for responsibility. The fact that the information was not diligently forwarded by one branch of the mission to another provided not justification for the Mission’s failure to act if it resulted in the violation of the complainant’s rights:</w:t>
      </w:r>
    </w:p>
    <w:p w14:paraId="2520BCC6" w14:textId="77777777" w:rsidR="007D7FA1" w:rsidRPr="002E7169" w:rsidRDefault="007D7FA1" w:rsidP="002E7169">
      <w:pPr>
        <w:spacing w:line="360" w:lineRule="auto"/>
        <w:ind w:left="720"/>
        <w:jc w:val="both"/>
        <w:rPr>
          <w:rFonts w:ascii="Arial" w:hAnsi="Arial" w:cs="Arial"/>
          <w:sz w:val="22"/>
          <w:szCs w:val="22"/>
          <w:lang w:val="en-GB"/>
        </w:rPr>
      </w:pPr>
    </w:p>
    <w:p w14:paraId="73F6C33B" w14:textId="7B5923D5" w:rsidR="007D7FA1" w:rsidRPr="002E7169" w:rsidRDefault="007D7FA1" w:rsidP="002E7169">
      <w:pPr>
        <w:spacing w:line="360" w:lineRule="auto"/>
        <w:ind w:left="720"/>
        <w:jc w:val="both"/>
        <w:rPr>
          <w:rFonts w:ascii="Arial" w:hAnsi="Arial" w:cs="Arial"/>
          <w:sz w:val="22"/>
          <w:szCs w:val="22"/>
          <w:lang w:val="en-GB"/>
        </w:rPr>
      </w:pPr>
      <w:r w:rsidRPr="002E7169">
        <w:rPr>
          <w:rFonts w:ascii="Arial" w:hAnsi="Arial" w:cs="Arial"/>
          <w:sz w:val="22"/>
          <w:szCs w:val="22"/>
        </w:rPr>
        <w:t>“61.</w:t>
      </w:r>
      <w:r w:rsidR="0043409D" w:rsidRPr="002E7169">
        <w:rPr>
          <w:rFonts w:ascii="Arial" w:hAnsi="Arial" w:cs="Arial"/>
          <w:sz w:val="22"/>
          <w:szCs w:val="22"/>
        </w:rPr>
        <w:t xml:space="preserve"> </w:t>
      </w:r>
      <w:r w:rsidRPr="002E7169">
        <w:rPr>
          <w:rFonts w:ascii="Arial" w:hAnsi="Arial" w:cs="Arial"/>
          <w:sz w:val="22"/>
          <w:szCs w:val="22"/>
        </w:rPr>
        <w:t xml:space="preserve">[...] the claim that the case never reached the Mission is contradicted by the fact that the record of this case has been within the custody of the DFM since at least December 2008. Since the case was in a database to which EULEX Prosecutors had access, this information may be said to have been constructively in their custody. In the diligent exercise of their responsibilities, they should and could have obtained information pertaining to that case. The Panel has already noted in earlier cases that a Mission such as EULEX is expected to organise its records and the transfer thereof in such a way that it is able to guarantee in all circumstances the effective protection of the rights of those concerned by those files […]. Furthermore, in a case of that importance, it is not unreasonable to expect that EULEX experts in charge of that file should have brought it to the attention of the competent investigative authorities with a view to ensure that the case was duly investigated.” </w:t>
      </w:r>
      <w:r w:rsidRPr="002E7169">
        <w:rPr>
          <w:rStyle w:val="FootnoteReference"/>
          <w:rFonts w:ascii="Arial" w:hAnsi="Arial" w:cs="Arial"/>
          <w:sz w:val="22"/>
          <w:szCs w:val="22"/>
          <w:lang w:val="en-GB"/>
        </w:rPr>
        <w:footnoteReference w:id="38"/>
      </w:r>
      <w:r w:rsidRPr="002E7169">
        <w:rPr>
          <w:rFonts w:ascii="Arial" w:hAnsi="Arial" w:cs="Arial"/>
          <w:sz w:val="22"/>
          <w:szCs w:val="22"/>
          <w:lang w:val="en-GB"/>
        </w:rPr>
        <w:t xml:space="preserve"> </w:t>
      </w:r>
    </w:p>
    <w:p w14:paraId="5CAC9D53" w14:textId="77777777" w:rsidR="007D7FA1" w:rsidRPr="002E7169" w:rsidRDefault="007D7FA1" w:rsidP="002E7169">
      <w:pPr>
        <w:spacing w:line="360" w:lineRule="auto"/>
        <w:jc w:val="both"/>
        <w:rPr>
          <w:rFonts w:ascii="Arial" w:hAnsi="Arial" w:cs="Arial"/>
          <w:sz w:val="22"/>
          <w:szCs w:val="22"/>
          <w:lang w:val="en-GB"/>
        </w:rPr>
      </w:pPr>
    </w:p>
    <w:p w14:paraId="651C72C2" w14:textId="77777777" w:rsidR="007D7FA1" w:rsidRPr="002E7169" w:rsidRDefault="007D7FA1" w:rsidP="002E7169">
      <w:pPr>
        <w:spacing w:line="360" w:lineRule="auto"/>
        <w:jc w:val="both"/>
        <w:rPr>
          <w:rFonts w:ascii="Arial" w:hAnsi="Arial" w:cs="Arial"/>
          <w:sz w:val="22"/>
          <w:szCs w:val="22"/>
          <w:lang w:val="en-GB"/>
        </w:rPr>
      </w:pPr>
      <w:r w:rsidRPr="002E7169">
        <w:rPr>
          <w:rFonts w:ascii="Arial" w:hAnsi="Arial" w:cs="Arial"/>
          <w:sz w:val="22"/>
          <w:szCs w:val="22"/>
          <w:lang w:val="en-GB"/>
        </w:rPr>
        <w:t>For the Panel to be competent to address such a matter, the complainant must therefore demonstrate that the impugned action or omission which, he claims, resulted in his rights being violated are attributable to the prosecuting authorities rather than to the courts.</w:t>
      </w:r>
      <w:r w:rsidRPr="002E7169">
        <w:rPr>
          <w:rStyle w:val="FootnoteReference"/>
          <w:rFonts w:ascii="Arial" w:hAnsi="Arial" w:cs="Arial"/>
          <w:sz w:val="22"/>
          <w:szCs w:val="22"/>
          <w:lang w:val="en-GB"/>
        </w:rPr>
        <w:footnoteReference w:id="39"/>
      </w:r>
      <w:r w:rsidRPr="002E7169">
        <w:rPr>
          <w:rFonts w:ascii="Arial" w:hAnsi="Arial" w:cs="Arial"/>
          <w:sz w:val="22"/>
          <w:szCs w:val="22"/>
          <w:lang w:val="en-GB"/>
        </w:rPr>
        <w:t xml:space="preserve"> As noted above, under certain circumstances, the Panel could be </w:t>
      </w:r>
      <w:r w:rsidRPr="002E7169">
        <w:rPr>
          <w:rFonts w:ascii="Arial" w:hAnsi="Arial" w:cs="Arial"/>
          <w:sz w:val="22"/>
          <w:szCs w:val="22"/>
          <w:lang w:val="en-GB"/>
        </w:rPr>
        <w:lastRenderedPageBreak/>
        <w:t>competent to review the acts of EULEX prosecutors even where their actions are subject to judicial review:</w:t>
      </w:r>
    </w:p>
    <w:p w14:paraId="0F6B751D" w14:textId="77777777" w:rsidR="007D7FA1" w:rsidRPr="002E7169" w:rsidRDefault="007D7FA1" w:rsidP="002E7169">
      <w:pPr>
        <w:autoSpaceDE w:val="0"/>
        <w:spacing w:line="360" w:lineRule="auto"/>
        <w:rPr>
          <w:rFonts w:ascii="Arial" w:hAnsi="Arial" w:cs="Arial"/>
          <w:b/>
          <w:bCs/>
          <w:sz w:val="22"/>
          <w:szCs w:val="22"/>
          <w:lang w:val="en-GB"/>
        </w:rPr>
      </w:pPr>
    </w:p>
    <w:p w14:paraId="28789DF2" w14:textId="77777777" w:rsidR="007D7FA1" w:rsidRPr="002E7169" w:rsidRDefault="007D7FA1" w:rsidP="002E7169">
      <w:pPr>
        <w:spacing w:line="360" w:lineRule="auto"/>
        <w:ind w:left="720"/>
        <w:jc w:val="both"/>
        <w:rPr>
          <w:rFonts w:ascii="Arial" w:hAnsi="Arial" w:cs="Arial"/>
          <w:sz w:val="22"/>
          <w:szCs w:val="22"/>
          <w:lang w:val="en-GB"/>
        </w:rPr>
      </w:pPr>
      <w:r w:rsidRPr="002E7169">
        <w:rPr>
          <w:rFonts w:ascii="Arial" w:hAnsi="Arial" w:cs="Arial"/>
          <w:sz w:val="22"/>
          <w:szCs w:val="22"/>
          <w:lang w:val="en-GB"/>
        </w:rPr>
        <w:t>“[I]t cannot be excluded that the Panel might be competent to evaluate the actions of EULEX prosecutors in criminal investigations even if they are subject to judicial review. The Panel would be competent to examine such acts and decisions, for instance, where the subject matter of acts and decisions subject to such review touches on human rights issues such as, for example, the right to personal liberty and security within the meaning of Article 5 of the ECHR. The Panel would only intervene if and where allegations of human rights violations attributed to the prosecutor have not been fully addressed by the competent judicial authorities [...].”</w:t>
      </w:r>
      <w:r w:rsidRPr="002E7169">
        <w:rPr>
          <w:rStyle w:val="FootnoteReference"/>
          <w:rFonts w:ascii="Arial" w:hAnsi="Arial" w:cs="Arial"/>
          <w:sz w:val="22"/>
          <w:szCs w:val="22"/>
          <w:lang w:val="en-GB"/>
        </w:rPr>
        <w:footnoteReference w:id="40"/>
      </w:r>
    </w:p>
    <w:p w14:paraId="36502089" w14:textId="77777777" w:rsidR="007D7FA1" w:rsidRPr="002E7169" w:rsidRDefault="007D7FA1" w:rsidP="002E7169">
      <w:pPr>
        <w:spacing w:line="360" w:lineRule="auto"/>
        <w:ind w:left="720"/>
        <w:jc w:val="both"/>
        <w:rPr>
          <w:rFonts w:ascii="Arial" w:hAnsi="Arial" w:cs="Arial"/>
          <w:sz w:val="22"/>
          <w:szCs w:val="22"/>
          <w:lang w:val="en-GB"/>
        </w:rPr>
      </w:pPr>
    </w:p>
    <w:p w14:paraId="3AFCF685" w14:textId="77777777" w:rsidR="007D7FA1" w:rsidRPr="002E7169" w:rsidRDefault="007D7FA1" w:rsidP="002E7169">
      <w:pPr>
        <w:suppressAutoHyphens/>
        <w:autoSpaceDE w:val="0"/>
        <w:spacing w:line="360" w:lineRule="auto"/>
        <w:jc w:val="both"/>
        <w:rPr>
          <w:rFonts w:ascii="Arial" w:hAnsi="Arial" w:cs="Arial"/>
          <w:color w:val="000000"/>
          <w:sz w:val="22"/>
          <w:szCs w:val="22"/>
          <w:lang w:val="en-GB"/>
        </w:rPr>
      </w:pPr>
      <w:r w:rsidRPr="002E7169">
        <w:rPr>
          <w:rFonts w:ascii="Arial" w:hAnsi="Arial" w:cs="Arial"/>
          <w:color w:val="000000"/>
          <w:sz w:val="22"/>
          <w:szCs w:val="22"/>
          <w:lang w:val="en-GB"/>
        </w:rPr>
        <w:t xml:space="preserve">This principle was applied, for instance in the case of </w:t>
      </w:r>
      <w:r w:rsidRPr="002E7169">
        <w:rPr>
          <w:rFonts w:ascii="Arial" w:hAnsi="Arial" w:cs="Arial"/>
          <w:i/>
          <w:color w:val="000000"/>
          <w:sz w:val="22"/>
          <w:szCs w:val="22"/>
          <w:lang w:val="en-GB"/>
        </w:rPr>
        <w:t>Y.B. against EULEX</w:t>
      </w:r>
      <w:r w:rsidRPr="002E7169">
        <w:rPr>
          <w:rFonts w:ascii="Arial" w:hAnsi="Arial" w:cs="Arial"/>
          <w:color w:val="000000"/>
          <w:sz w:val="22"/>
          <w:szCs w:val="22"/>
          <w:lang w:val="en-GB"/>
        </w:rPr>
        <w:t xml:space="preserve"> where the intervention of the judiciary came too late to reverse the Prosecutor’s actions and their consequences and the relief granted judicially did not entirely remedy the prejudice caused to those rights. The alleged damage to the complainant’s rights would have already been done with the filing of the indictment, the Panel noted. The Panel concluded that it could not therefore be concluded that the interference with the complainant’s rights took place in the context of “judicial proceedings”, nor were they fully addressed by the and therefore declared itself competent to examine the complaint.</w:t>
      </w:r>
      <w:r w:rsidRPr="002E7169">
        <w:rPr>
          <w:rStyle w:val="FootnoteReference"/>
          <w:rFonts w:ascii="Arial" w:hAnsi="Arial" w:cs="Arial"/>
          <w:color w:val="000000"/>
          <w:sz w:val="22"/>
          <w:szCs w:val="22"/>
          <w:lang w:val="en-GB"/>
        </w:rPr>
        <w:footnoteReference w:id="41"/>
      </w:r>
    </w:p>
    <w:p w14:paraId="158A227D" w14:textId="77777777" w:rsidR="007D7FA1" w:rsidRPr="002E7169" w:rsidRDefault="007D7FA1" w:rsidP="002E7169">
      <w:pPr>
        <w:spacing w:line="360" w:lineRule="auto"/>
        <w:jc w:val="both"/>
        <w:rPr>
          <w:rFonts w:ascii="Arial" w:hAnsi="Arial" w:cs="Arial"/>
          <w:color w:val="000000"/>
          <w:sz w:val="22"/>
          <w:szCs w:val="22"/>
          <w:lang w:val="en-GB"/>
        </w:rPr>
      </w:pPr>
    </w:p>
    <w:p w14:paraId="2C091493" w14:textId="1E189268" w:rsidR="00674489" w:rsidRPr="002E7169" w:rsidRDefault="00674489" w:rsidP="002E7169">
      <w:pPr>
        <w:spacing w:line="360" w:lineRule="auto"/>
        <w:jc w:val="both"/>
        <w:rPr>
          <w:rFonts w:ascii="Arial" w:hAnsi="Arial" w:cs="Arial"/>
          <w:b/>
          <w:color w:val="000000"/>
          <w:sz w:val="22"/>
          <w:szCs w:val="22"/>
          <w:lang w:val="en-GB"/>
        </w:rPr>
      </w:pPr>
      <w:r w:rsidRPr="002E7169">
        <w:rPr>
          <w:rFonts w:ascii="Arial" w:hAnsi="Arial" w:cs="Arial"/>
          <w:b/>
          <w:color w:val="000000"/>
          <w:sz w:val="22"/>
          <w:szCs w:val="22"/>
          <w:lang w:val="en-GB"/>
        </w:rPr>
        <w:t>Broad interpretation of EULEX Prosecutors’ competence over certain categories of cases</w:t>
      </w:r>
    </w:p>
    <w:p w14:paraId="6F59C48A" w14:textId="77777777" w:rsidR="007D7FA1" w:rsidRPr="002E7169" w:rsidRDefault="007D7FA1" w:rsidP="002E7169">
      <w:pPr>
        <w:suppressAutoHyphens/>
        <w:autoSpaceDE w:val="0"/>
        <w:spacing w:line="360" w:lineRule="auto"/>
        <w:jc w:val="both"/>
        <w:rPr>
          <w:rFonts w:ascii="Arial" w:hAnsi="Arial" w:cs="Arial"/>
          <w:bCs/>
          <w:sz w:val="22"/>
          <w:szCs w:val="22"/>
          <w:lang w:val="en-GB"/>
        </w:rPr>
      </w:pPr>
      <w:r w:rsidRPr="002E7169">
        <w:rPr>
          <w:rFonts w:ascii="Arial" w:hAnsi="Arial" w:cs="Arial"/>
          <w:bCs/>
          <w:sz w:val="22"/>
          <w:szCs w:val="22"/>
          <w:lang w:val="en-GB"/>
        </w:rPr>
        <w:t xml:space="preserve">The Panel has similarly taken a generally broad view of EULEX prosecutors’ executive competence over certain categories of cases. In </w:t>
      </w:r>
      <w:r w:rsidRPr="002E7169">
        <w:rPr>
          <w:rFonts w:ascii="Arial" w:hAnsi="Arial" w:cs="Arial"/>
          <w:bCs/>
          <w:i/>
          <w:sz w:val="22"/>
          <w:szCs w:val="22"/>
          <w:lang w:val="en-GB"/>
        </w:rPr>
        <w:t>D.W. et al</w:t>
      </w:r>
      <w:r w:rsidRPr="002E7169">
        <w:rPr>
          <w:rFonts w:ascii="Arial" w:hAnsi="Arial" w:cs="Arial"/>
          <w:bCs/>
          <w:sz w:val="22"/>
          <w:szCs w:val="22"/>
          <w:lang w:val="en-GB"/>
        </w:rPr>
        <w:t xml:space="preserve">, for instance, a case pertaining to enforced disappearance, the Panel rejected the narrow interpretation of </w:t>
      </w:r>
      <w:r w:rsidRPr="002E7169">
        <w:rPr>
          <w:rFonts w:ascii="Arial" w:hAnsi="Arial" w:cs="Arial"/>
          <w:bCs/>
          <w:sz w:val="22"/>
          <w:szCs w:val="22"/>
          <w:lang w:val="en-GB"/>
        </w:rPr>
        <w:lastRenderedPageBreak/>
        <w:t xml:space="preserve">its competence given by EULEX prosecutor to investigate such cases and gave its own interpretation of the law to determine the scope thereof. The Panel also noted that </w:t>
      </w:r>
      <w:r w:rsidRPr="002E7169">
        <w:rPr>
          <w:rFonts w:ascii="Arial" w:hAnsi="Arial" w:cs="Arial"/>
          <w:sz w:val="22"/>
          <w:szCs w:val="22"/>
          <w:lang w:val="sq-AL"/>
        </w:rPr>
        <w:t xml:space="preserve">the Mission’s </w:t>
      </w:r>
      <w:r w:rsidRPr="002E7169">
        <w:rPr>
          <w:rFonts w:ascii="Arial" w:hAnsi="Arial" w:cs="Arial"/>
          <w:i/>
          <w:sz w:val="22"/>
          <w:szCs w:val="22"/>
          <w:lang w:val="sq-AL"/>
        </w:rPr>
        <w:t>obligation</w:t>
      </w:r>
      <w:r w:rsidRPr="002E7169">
        <w:rPr>
          <w:rFonts w:ascii="Arial" w:hAnsi="Arial" w:cs="Arial"/>
          <w:sz w:val="22"/>
          <w:szCs w:val="22"/>
          <w:lang w:val="sq-AL"/>
        </w:rPr>
        <w:t xml:space="preserve"> to investigate these cases arises not from these provisions which set out EULEX Prosecutors’ jurisdictional competence over these cases, but from Articles 2-3 of the European Convention, which mandates the Mission to guarantee the effectiveness of these rights in the context of its executive function.</w:t>
      </w:r>
      <w:r w:rsidRPr="002E7169">
        <w:rPr>
          <w:rStyle w:val="FootnoteReference"/>
          <w:rFonts w:ascii="Arial" w:hAnsi="Arial" w:cs="Arial"/>
          <w:bCs/>
          <w:sz w:val="22"/>
          <w:szCs w:val="22"/>
          <w:lang w:val="en-GB"/>
        </w:rPr>
        <w:footnoteReference w:id="42"/>
      </w:r>
    </w:p>
    <w:p w14:paraId="61D5C5A3" w14:textId="77777777" w:rsidR="007D7FA1" w:rsidRPr="002E7169" w:rsidRDefault="007D7FA1" w:rsidP="002E7169">
      <w:pPr>
        <w:suppressAutoHyphens/>
        <w:autoSpaceDE w:val="0"/>
        <w:spacing w:line="360" w:lineRule="auto"/>
        <w:jc w:val="both"/>
        <w:rPr>
          <w:rFonts w:ascii="Arial" w:hAnsi="Arial" w:cs="Arial"/>
          <w:bCs/>
          <w:sz w:val="22"/>
          <w:szCs w:val="22"/>
          <w:lang w:val="en-GB"/>
        </w:rPr>
      </w:pPr>
    </w:p>
    <w:p w14:paraId="262D9894" w14:textId="77777777" w:rsidR="00674489" w:rsidRPr="002E7169" w:rsidRDefault="007D7FA1" w:rsidP="002E7169">
      <w:pPr>
        <w:spacing w:line="360" w:lineRule="auto"/>
        <w:jc w:val="both"/>
        <w:rPr>
          <w:rFonts w:ascii="Arial" w:hAnsi="Arial" w:cs="Arial"/>
          <w:bCs/>
          <w:sz w:val="22"/>
          <w:szCs w:val="22"/>
          <w:lang w:val="en-GB"/>
        </w:rPr>
      </w:pPr>
      <w:r w:rsidRPr="002E7169">
        <w:rPr>
          <w:rFonts w:ascii="Arial" w:hAnsi="Arial" w:cs="Arial"/>
          <w:bCs/>
          <w:sz w:val="22"/>
          <w:szCs w:val="22"/>
          <w:lang w:val="en-GB"/>
        </w:rPr>
        <w:t>In this context, the Panel generally rejected interpretations of the role and responsibilities of EULEX prosecutors that would be inconsistent with their general obligation to guarantee the effective protection of rights in the performance of their duties. The Panel has thus interpreted EULEX Prosecutor’s “exceptional” competence pursuant to Article 7(A) of the (amended) Law on Jurisdiction in a manner that gives effect to the mission’s overall responsibility to guarantee the effective protection of rights in the investigative context and, in effect, rejected the minimalist and purely discretionary interpretation of that concept that both EULEX Prosecutors and the mission had favoured. In so doing, it has expanded the proposed narrow interpr</w:t>
      </w:r>
      <w:r w:rsidR="00CD44F6" w:rsidRPr="002E7169">
        <w:rPr>
          <w:rFonts w:ascii="Arial" w:hAnsi="Arial" w:cs="Arial"/>
          <w:bCs/>
          <w:sz w:val="22"/>
          <w:szCs w:val="22"/>
          <w:lang w:val="en-GB"/>
        </w:rPr>
        <w:t>et</w:t>
      </w:r>
      <w:r w:rsidRPr="002E7169">
        <w:rPr>
          <w:rFonts w:ascii="Arial" w:hAnsi="Arial" w:cs="Arial"/>
          <w:bCs/>
          <w:sz w:val="22"/>
          <w:szCs w:val="22"/>
          <w:lang w:val="en-GB"/>
        </w:rPr>
        <w:t>ation of what would constitute “extraordinary circumstances” as would allow EULEX prosecution to intervene under its residual competencies after the amendment of the Law on Jurisdiction in May 2014.</w:t>
      </w:r>
      <w:r w:rsidRPr="002E7169">
        <w:rPr>
          <w:rStyle w:val="FootnoteReference"/>
          <w:rFonts w:ascii="Arial" w:hAnsi="Arial" w:cs="Arial"/>
          <w:bCs/>
          <w:sz w:val="22"/>
          <w:szCs w:val="22"/>
          <w:lang w:val="en-GB"/>
        </w:rPr>
        <w:footnoteReference w:id="43"/>
      </w:r>
      <w:r w:rsidRPr="002E7169">
        <w:rPr>
          <w:rFonts w:ascii="Arial" w:hAnsi="Arial" w:cs="Arial"/>
          <w:bCs/>
          <w:sz w:val="22"/>
          <w:szCs w:val="22"/>
          <w:lang w:val="en-GB"/>
        </w:rPr>
        <w:t xml:space="preserve"> Such a purposeful approach to setting the outer </w:t>
      </w:r>
      <w:r w:rsidRPr="002E7169">
        <w:rPr>
          <w:rFonts w:ascii="Arial" w:hAnsi="Arial" w:cs="Arial"/>
          <w:bCs/>
          <w:sz w:val="22"/>
          <w:szCs w:val="22"/>
          <w:lang w:val="en-GB"/>
        </w:rPr>
        <w:lastRenderedPageBreak/>
        <w:t>limits of EULEX Prosecutor’s competencies is also apparent from the Panel’s view that EULEX Prosecutors might bear a residual investigative obligation if and where local authorities fail to perform their duties in relation to categories of offences over which EULEX Prosecutors have competence.</w:t>
      </w:r>
      <w:r w:rsidRPr="002E7169">
        <w:rPr>
          <w:rStyle w:val="FootnoteReference"/>
          <w:rFonts w:ascii="Arial" w:hAnsi="Arial" w:cs="Arial"/>
          <w:bCs/>
          <w:sz w:val="22"/>
          <w:szCs w:val="22"/>
          <w:lang w:val="en-GB"/>
        </w:rPr>
        <w:footnoteReference w:id="44"/>
      </w:r>
      <w:r w:rsidRPr="002E7169">
        <w:rPr>
          <w:rFonts w:ascii="Arial" w:hAnsi="Arial" w:cs="Arial"/>
          <w:bCs/>
          <w:sz w:val="22"/>
          <w:szCs w:val="22"/>
          <w:lang w:val="en-GB"/>
        </w:rPr>
        <w:t xml:space="preserve"> </w:t>
      </w:r>
    </w:p>
    <w:p w14:paraId="2FB06B3F" w14:textId="77777777" w:rsidR="00674489" w:rsidRPr="002E7169" w:rsidRDefault="00674489" w:rsidP="002E7169">
      <w:pPr>
        <w:spacing w:line="360" w:lineRule="auto"/>
        <w:jc w:val="both"/>
        <w:rPr>
          <w:rFonts w:ascii="Arial" w:hAnsi="Arial" w:cs="Arial"/>
          <w:bCs/>
          <w:sz w:val="22"/>
          <w:szCs w:val="22"/>
          <w:lang w:val="en-GB"/>
        </w:rPr>
      </w:pPr>
    </w:p>
    <w:p w14:paraId="00BE104D" w14:textId="3E431CB0" w:rsidR="007D7FA1" w:rsidRPr="002E7169" w:rsidRDefault="007D7FA1" w:rsidP="002E7169">
      <w:pPr>
        <w:spacing w:line="360" w:lineRule="auto"/>
        <w:jc w:val="both"/>
        <w:rPr>
          <w:rFonts w:ascii="Arial" w:hAnsi="Arial" w:cs="Arial"/>
          <w:sz w:val="22"/>
          <w:szCs w:val="22"/>
          <w:lang w:val="en-GB"/>
        </w:rPr>
      </w:pPr>
      <w:r w:rsidRPr="002E7169">
        <w:rPr>
          <w:rFonts w:ascii="Arial" w:hAnsi="Arial" w:cs="Arial"/>
          <w:bCs/>
          <w:sz w:val="22"/>
          <w:szCs w:val="22"/>
          <w:lang w:val="en-GB"/>
        </w:rPr>
        <w:t>The Panel’s purposive reading of the EULEX prosecutors’ obligations is intended to ensure that rights are protected effectively and that rights’ victims are not left without a remedy where EULEX could provide one.</w:t>
      </w:r>
    </w:p>
    <w:p w14:paraId="593FC4B4" w14:textId="77777777" w:rsidR="000562AC" w:rsidRPr="002E7169" w:rsidRDefault="000562AC" w:rsidP="002E7169">
      <w:pPr>
        <w:spacing w:line="360" w:lineRule="auto"/>
        <w:jc w:val="both"/>
        <w:rPr>
          <w:rFonts w:ascii="Arial" w:hAnsi="Arial" w:cs="Arial"/>
          <w:sz w:val="22"/>
          <w:szCs w:val="22"/>
          <w:lang w:val="en-GB"/>
        </w:rPr>
      </w:pPr>
    </w:p>
    <w:p w14:paraId="729547CB" w14:textId="05630917" w:rsidR="00FF1625" w:rsidRPr="002E7169" w:rsidRDefault="00D91DC9" w:rsidP="002E7169">
      <w:pPr>
        <w:pStyle w:val="Heading3"/>
        <w:spacing w:line="360" w:lineRule="auto"/>
        <w:ind w:left="720" w:firstLine="720"/>
        <w:rPr>
          <w:rFonts w:ascii="Arial" w:hAnsi="Arial" w:cs="Arial"/>
          <w:sz w:val="22"/>
          <w:szCs w:val="22"/>
          <w:lang w:val="en-GB"/>
        </w:rPr>
      </w:pPr>
      <w:bookmarkStart w:id="8" w:name="_Toc496014019"/>
      <w:r w:rsidRPr="002E7169">
        <w:rPr>
          <w:rFonts w:ascii="Arial" w:hAnsi="Arial" w:cs="Arial"/>
          <w:sz w:val="22"/>
          <w:szCs w:val="22"/>
          <w:lang w:val="en-GB"/>
        </w:rPr>
        <w:t>2.2.5</w:t>
      </w:r>
      <w:r w:rsidRPr="002E7169">
        <w:rPr>
          <w:rFonts w:ascii="Arial" w:hAnsi="Arial" w:cs="Arial"/>
          <w:sz w:val="22"/>
          <w:szCs w:val="22"/>
          <w:lang w:val="en-GB"/>
        </w:rPr>
        <w:tab/>
      </w:r>
      <w:r w:rsidR="00FF1625" w:rsidRPr="002E7169">
        <w:rPr>
          <w:rFonts w:ascii="Arial" w:hAnsi="Arial" w:cs="Arial"/>
          <w:sz w:val="22"/>
          <w:szCs w:val="22"/>
          <w:lang w:val="en-GB"/>
        </w:rPr>
        <w:t>Private disputes</w:t>
      </w:r>
      <w:bookmarkEnd w:id="8"/>
      <w:r w:rsidR="00FF1625" w:rsidRPr="002E7169">
        <w:rPr>
          <w:rFonts w:ascii="Arial" w:hAnsi="Arial" w:cs="Arial"/>
          <w:sz w:val="22"/>
          <w:szCs w:val="22"/>
          <w:lang w:val="en-GB"/>
        </w:rPr>
        <w:t xml:space="preserve"> </w:t>
      </w:r>
    </w:p>
    <w:p w14:paraId="4A0E648F" w14:textId="76DD8B6F" w:rsidR="000562AC" w:rsidRPr="002E7169" w:rsidRDefault="00265D5D" w:rsidP="002E7169">
      <w:pPr>
        <w:spacing w:line="360" w:lineRule="auto"/>
        <w:jc w:val="both"/>
        <w:rPr>
          <w:rFonts w:ascii="Arial" w:hAnsi="Arial" w:cs="Arial"/>
          <w:sz w:val="22"/>
          <w:szCs w:val="22"/>
          <w:lang w:val="en-GB"/>
        </w:rPr>
      </w:pPr>
      <w:r w:rsidRPr="002E7169">
        <w:rPr>
          <w:rFonts w:ascii="Arial" w:hAnsi="Arial" w:cs="Arial"/>
          <w:sz w:val="22"/>
          <w:szCs w:val="22"/>
          <w:lang w:val="en-GB"/>
        </w:rPr>
        <w:t>The Panel does not have reviewing authority over private disputes.</w:t>
      </w:r>
      <w:r w:rsidR="00F03D7F" w:rsidRPr="002E7169">
        <w:rPr>
          <w:rStyle w:val="FootnoteReference"/>
          <w:rFonts w:ascii="Arial" w:hAnsi="Arial" w:cs="Arial"/>
          <w:sz w:val="22"/>
          <w:szCs w:val="22"/>
          <w:lang w:val="en-GB"/>
        </w:rPr>
        <w:footnoteReference w:id="45"/>
      </w:r>
    </w:p>
    <w:p w14:paraId="7B2DF317" w14:textId="77777777" w:rsidR="000562AC" w:rsidRPr="002E7169" w:rsidRDefault="000562AC" w:rsidP="002E7169">
      <w:pPr>
        <w:spacing w:line="360" w:lineRule="auto"/>
        <w:jc w:val="both"/>
        <w:rPr>
          <w:rFonts w:ascii="Arial" w:hAnsi="Arial" w:cs="Arial"/>
          <w:sz w:val="22"/>
          <w:szCs w:val="22"/>
          <w:lang w:val="en-GB"/>
        </w:rPr>
      </w:pPr>
    </w:p>
    <w:p w14:paraId="7DA9F2A9" w14:textId="63436702" w:rsidR="00F03D7F" w:rsidRPr="002E7169" w:rsidRDefault="00D91DC9" w:rsidP="002E7169">
      <w:pPr>
        <w:pStyle w:val="Heading3"/>
        <w:spacing w:line="360" w:lineRule="auto"/>
        <w:ind w:left="720" w:firstLine="720"/>
        <w:rPr>
          <w:rFonts w:ascii="Arial" w:hAnsi="Arial" w:cs="Arial"/>
          <w:sz w:val="22"/>
          <w:szCs w:val="22"/>
          <w:lang w:val="en-GB"/>
        </w:rPr>
      </w:pPr>
      <w:bookmarkStart w:id="9" w:name="_Toc496014020"/>
      <w:r w:rsidRPr="002E7169">
        <w:rPr>
          <w:rFonts w:ascii="Arial" w:hAnsi="Arial" w:cs="Arial"/>
          <w:sz w:val="22"/>
          <w:szCs w:val="22"/>
          <w:lang w:val="en-GB"/>
        </w:rPr>
        <w:lastRenderedPageBreak/>
        <w:t>2.2.6</w:t>
      </w:r>
      <w:r w:rsidRPr="002E7169">
        <w:rPr>
          <w:rFonts w:ascii="Arial" w:hAnsi="Arial" w:cs="Arial"/>
          <w:sz w:val="22"/>
          <w:szCs w:val="22"/>
          <w:lang w:val="en-GB"/>
        </w:rPr>
        <w:tab/>
      </w:r>
      <w:r w:rsidR="00F03D7F" w:rsidRPr="002E7169">
        <w:rPr>
          <w:rFonts w:ascii="Arial" w:hAnsi="Arial" w:cs="Arial"/>
          <w:sz w:val="22"/>
          <w:szCs w:val="22"/>
          <w:lang w:val="en-GB"/>
        </w:rPr>
        <w:t>No competence over violations against EULEX personnel</w:t>
      </w:r>
      <w:bookmarkEnd w:id="9"/>
      <w:r w:rsidR="00F03D7F" w:rsidRPr="002E7169">
        <w:rPr>
          <w:rFonts w:ascii="Arial" w:hAnsi="Arial" w:cs="Arial"/>
          <w:sz w:val="22"/>
          <w:szCs w:val="22"/>
          <w:lang w:val="en-GB"/>
        </w:rPr>
        <w:t xml:space="preserve"> </w:t>
      </w:r>
    </w:p>
    <w:p w14:paraId="339F3466" w14:textId="0B2344AD" w:rsidR="00F03D7F" w:rsidRPr="002E7169" w:rsidRDefault="00F03D7F" w:rsidP="002E7169">
      <w:pPr>
        <w:spacing w:line="360" w:lineRule="auto"/>
        <w:jc w:val="both"/>
        <w:rPr>
          <w:rFonts w:ascii="Arial" w:hAnsi="Arial" w:cs="Arial"/>
          <w:sz w:val="22"/>
          <w:szCs w:val="22"/>
          <w:lang w:val="en-GB"/>
        </w:rPr>
      </w:pPr>
      <w:r w:rsidRPr="002E7169">
        <w:rPr>
          <w:rFonts w:ascii="Arial" w:hAnsi="Arial" w:cs="Arial"/>
          <w:sz w:val="22"/>
          <w:szCs w:val="22"/>
          <w:lang w:val="en-GB"/>
        </w:rPr>
        <w:t>The Panel is not competent to deal with alleged violations of rights committed against EULEX personnel.</w:t>
      </w:r>
      <w:r w:rsidRPr="002E7169">
        <w:rPr>
          <w:rStyle w:val="FootnoteReference"/>
          <w:rFonts w:ascii="Arial" w:hAnsi="Arial" w:cs="Arial"/>
          <w:sz w:val="22"/>
          <w:szCs w:val="22"/>
          <w:lang w:val="en-GB"/>
        </w:rPr>
        <w:footnoteReference w:id="46"/>
      </w:r>
      <w:r w:rsidRPr="002E7169">
        <w:rPr>
          <w:rFonts w:ascii="Arial" w:hAnsi="Arial" w:cs="Arial"/>
          <w:sz w:val="22"/>
          <w:szCs w:val="22"/>
          <w:lang w:val="en-GB"/>
        </w:rPr>
        <w:t xml:space="preserve"> Thus, complaints over matters such as recruitment procedures fall beyond the scope of the Panel’s competence.</w:t>
      </w:r>
      <w:r w:rsidRPr="002E7169">
        <w:rPr>
          <w:rStyle w:val="FootnoteReference"/>
          <w:rFonts w:ascii="Arial" w:hAnsi="Arial" w:cs="Arial"/>
          <w:sz w:val="22"/>
          <w:szCs w:val="22"/>
          <w:lang w:val="en-GB"/>
        </w:rPr>
        <w:footnoteReference w:id="47"/>
      </w:r>
    </w:p>
    <w:p w14:paraId="77E65C28" w14:textId="77777777" w:rsidR="00F03D7F" w:rsidRPr="002E7169" w:rsidRDefault="00F03D7F" w:rsidP="002E7169">
      <w:pPr>
        <w:spacing w:line="360" w:lineRule="auto"/>
        <w:jc w:val="both"/>
        <w:rPr>
          <w:rFonts w:ascii="Arial" w:hAnsi="Arial" w:cs="Arial"/>
          <w:sz w:val="22"/>
          <w:szCs w:val="22"/>
          <w:lang w:val="en-GB"/>
        </w:rPr>
      </w:pPr>
    </w:p>
    <w:p w14:paraId="0CE9C7B7" w14:textId="2DCCDD3D" w:rsidR="00631198" w:rsidRPr="002E7169" w:rsidRDefault="00704E92" w:rsidP="002E7169">
      <w:pPr>
        <w:pStyle w:val="Heading2"/>
        <w:spacing w:line="360" w:lineRule="auto"/>
        <w:ind w:left="720" w:firstLine="720"/>
        <w:rPr>
          <w:rFonts w:cs="Arial"/>
          <w:sz w:val="22"/>
          <w:szCs w:val="22"/>
          <w:lang w:val="en-GB"/>
        </w:rPr>
      </w:pPr>
      <w:bookmarkStart w:id="10" w:name="_Toc496014021"/>
      <w:r w:rsidRPr="002E7169">
        <w:rPr>
          <w:rFonts w:cs="Arial"/>
          <w:sz w:val="22"/>
          <w:szCs w:val="22"/>
          <w:lang w:val="en-GB"/>
        </w:rPr>
        <w:t>2.3</w:t>
      </w:r>
      <w:r w:rsidRPr="002E7169">
        <w:rPr>
          <w:rFonts w:cs="Arial"/>
          <w:sz w:val="22"/>
          <w:szCs w:val="22"/>
          <w:lang w:val="en-GB"/>
        </w:rPr>
        <w:tab/>
      </w:r>
      <w:r w:rsidR="00364A37" w:rsidRPr="002E7169">
        <w:rPr>
          <w:rFonts w:cs="Arial"/>
          <w:i/>
          <w:sz w:val="22"/>
          <w:szCs w:val="22"/>
          <w:lang w:val="en-GB"/>
        </w:rPr>
        <w:t>Ratione temporis</w:t>
      </w:r>
      <w:bookmarkEnd w:id="10"/>
      <w:r w:rsidR="00364A37" w:rsidRPr="002E7169">
        <w:rPr>
          <w:rFonts w:cs="Arial"/>
          <w:sz w:val="22"/>
          <w:szCs w:val="22"/>
          <w:lang w:val="en-GB"/>
        </w:rPr>
        <w:t xml:space="preserve"> </w:t>
      </w:r>
    </w:p>
    <w:p w14:paraId="1CF2B766" w14:textId="287B81D3" w:rsidR="000E144C" w:rsidRPr="00BE5F6F" w:rsidRDefault="00BE5F6F" w:rsidP="00BE5F6F">
      <w:pPr>
        <w:spacing w:line="360" w:lineRule="auto"/>
        <w:ind w:left="1418"/>
        <w:jc w:val="both"/>
        <w:rPr>
          <w:rFonts w:ascii="Arial" w:hAnsi="Arial" w:cs="Arial"/>
          <w:b/>
          <w:color w:val="4F81BD" w:themeColor="accent1"/>
          <w:sz w:val="22"/>
          <w:szCs w:val="22"/>
          <w:lang w:val="en-GB"/>
        </w:rPr>
      </w:pPr>
      <w:r w:rsidRPr="00BE5F6F">
        <w:rPr>
          <w:rFonts w:ascii="Arial" w:hAnsi="Arial" w:cs="Arial"/>
          <w:b/>
          <w:color w:val="4F81BD" w:themeColor="accent1"/>
          <w:sz w:val="22"/>
          <w:szCs w:val="22"/>
          <w:lang w:val="en-GB"/>
        </w:rPr>
        <w:t xml:space="preserve">2.3.1 </w:t>
      </w:r>
      <w:r w:rsidR="000E144C" w:rsidRPr="00BE5F6F">
        <w:rPr>
          <w:rFonts w:ascii="Arial" w:hAnsi="Arial" w:cs="Arial"/>
          <w:b/>
          <w:color w:val="4F81BD" w:themeColor="accent1"/>
          <w:sz w:val="22"/>
          <w:szCs w:val="22"/>
          <w:lang w:val="en-GB"/>
        </w:rPr>
        <w:t>Competence starting on 9 December 2008</w:t>
      </w:r>
    </w:p>
    <w:p w14:paraId="60B2A472" w14:textId="6DB5D9A5" w:rsidR="00EF6C3D" w:rsidRPr="002E7169" w:rsidRDefault="00EA1911" w:rsidP="002E7169">
      <w:pPr>
        <w:spacing w:line="360" w:lineRule="auto"/>
        <w:jc w:val="both"/>
        <w:rPr>
          <w:rFonts w:ascii="Arial" w:hAnsi="Arial" w:cs="Arial"/>
          <w:sz w:val="22"/>
          <w:szCs w:val="22"/>
          <w:lang w:val="en-GB"/>
        </w:rPr>
      </w:pPr>
      <w:r w:rsidRPr="002E7169">
        <w:rPr>
          <w:rFonts w:ascii="Arial" w:hAnsi="Arial" w:cs="Arial"/>
          <w:i/>
          <w:sz w:val="22"/>
          <w:szCs w:val="22"/>
          <w:lang w:val="en-GB"/>
        </w:rPr>
        <w:t>Ratione temporis</w:t>
      </w:r>
      <w:r w:rsidRPr="002E7169">
        <w:rPr>
          <w:rFonts w:ascii="Arial" w:hAnsi="Arial" w:cs="Arial"/>
          <w:sz w:val="22"/>
          <w:szCs w:val="22"/>
          <w:lang w:val="en-GB"/>
        </w:rPr>
        <w:t xml:space="preserve">, the jurisdiction of the Panel commences on 9 December 2008, the date when EULEX became operational. </w:t>
      </w:r>
      <w:r w:rsidR="002A6BE4" w:rsidRPr="002E7169">
        <w:rPr>
          <w:rFonts w:ascii="Arial" w:hAnsi="Arial" w:cs="Arial"/>
          <w:color w:val="000000"/>
          <w:sz w:val="22"/>
          <w:szCs w:val="22"/>
          <w:lang w:val="en-GB"/>
        </w:rPr>
        <w:t>Accordingly, the Panel’s temporal jurisdiction commences at that point and covers its activities since that time.</w:t>
      </w:r>
      <w:r w:rsidR="002A6BE4" w:rsidRPr="002E7169">
        <w:rPr>
          <w:rStyle w:val="FootnoteReference"/>
          <w:rFonts w:ascii="Arial" w:hAnsi="Arial" w:cs="Arial"/>
          <w:color w:val="000000"/>
          <w:sz w:val="22"/>
          <w:szCs w:val="22"/>
          <w:lang w:val="en-GB"/>
        </w:rPr>
        <w:footnoteReference w:id="48"/>
      </w:r>
      <w:r w:rsidR="002A6BE4" w:rsidRPr="002E7169">
        <w:rPr>
          <w:rFonts w:ascii="Arial" w:hAnsi="Arial" w:cs="Arial"/>
          <w:color w:val="000000"/>
          <w:sz w:val="22"/>
          <w:szCs w:val="22"/>
          <w:lang w:val="en-GB"/>
        </w:rPr>
        <w:t xml:space="preserve"> </w:t>
      </w:r>
      <w:r w:rsidRPr="002E7169">
        <w:rPr>
          <w:rFonts w:ascii="Arial" w:hAnsi="Arial" w:cs="Arial"/>
          <w:sz w:val="22"/>
          <w:szCs w:val="22"/>
          <w:lang w:val="en-GB"/>
        </w:rPr>
        <w:t>Allegations of violations of rights committed prior to that date will not therefore come within the competence of the Panel.</w:t>
      </w:r>
      <w:r w:rsidRPr="002E7169">
        <w:rPr>
          <w:rStyle w:val="FootnoteReference"/>
          <w:rFonts w:ascii="Arial" w:hAnsi="Arial" w:cs="Arial"/>
          <w:sz w:val="22"/>
          <w:szCs w:val="22"/>
          <w:lang w:val="en-GB"/>
        </w:rPr>
        <w:footnoteReference w:id="49"/>
      </w:r>
      <w:r w:rsidRPr="002E7169">
        <w:rPr>
          <w:rFonts w:ascii="Arial" w:hAnsi="Arial" w:cs="Arial"/>
          <w:sz w:val="22"/>
          <w:szCs w:val="22"/>
          <w:lang w:val="en-GB"/>
        </w:rPr>
        <w:t xml:space="preserve"> </w:t>
      </w:r>
    </w:p>
    <w:p w14:paraId="16DB9EE6" w14:textId="77777777" w:rsidR="000E144C" w:rsidRPr="002E7169" w:rsidRDefault="000E144C" w:rsidP="002E7169">
      <w:pPr>
        <w:spacing w:line="360" w:lineRule="auto"/>
        <w:rPr>
          <w:rFonts w:ascii="Arial" w:hAnsi="Arial" w:cs="Arial"/>
          <w:sz w:val="22"/>
          <w:szCs w:val="22"/>
          <w:lang w:val="en-GB"/>
        </w:rPr>
      </w:pPr>
    </w:p>
    <w:p w14:paraId="026B8FF3" w14:textId="2530539F" w:rsidR="000E144C" w:rsidRPr="00BE5F6F" w:rsidRDefault="00BE5F6F" w:rsidP="00BE5F6F">
      <w:pPr>
        <w:spacing w:line="360" w:lineRule="auto"/>
        <w:ind w:left="1418"/>
        <w:rPr>
          <w:rFonts w:ascii="Arial" w:hAnsi="Arial" w:cs="Arial"/>
          <w:b/>
          <w:color w:val="4F81BD" w:themeColor="accent1"/>
          <w:sz w:val="22"/>
          <w:szCs w:val="22"/>
          <w:lang w:val="en-GB"/>
        </w:rPr>
      </w:pPr>
      <w:r w:rsidRPr="00BE5F6F">
        <w:rPr>
          <w:rFonts w:ascii="Arial" w:hAnsi="Arial" w:cs="Arial"/>
          <w:b/>
          <w:color w:val="4F81BD" w:themeColor="accent1"/>
          <w:sz w:val="22"/>
          <w:szCs w:val="22"/>
          <w:lang w:val="en-GB"/>
        </w:rPr>
        <w:t xml:space="preserve">2.3.2 </w:t>
      </w:r>
      <w:r w:rsidR="000E144C" w:rsidRPr="00BE5F6F">
        <w:rPr>
          <w:rFonts w:ascii="Arial" w:hAnsi="Arial" w:cs="Arial"/>
          <w:b/>
          <w:color w:val="4F81BD" w:themeColor="accent1"/>
          <w:sz w:val="22"/>
          <w:szCs w:val="22"/>
          <w:lang w:val="en-GB"/>
        </w:rPr>
        <w:t>Competence over alleged violations that commenced before that date and continued thereafter</w:t>
      </w:r>
    </w:p>
    <w:p w14:paraId="0B6D4277" w14:textId="77777777" w:rsidR="00145A19" w:rsidRPr="002E7169" w:rsidRDefault="00EA1911" w:rsidP="002E7169">
      <w:pPr>
        <w:suppressAutoHyphens/>
        <w:autoSpaceDE w:val="0"/>
        <w:spacing w:line="360" w:lineRule="auto"/>
        <w:jc w:val="both"/>
        <w:rPr>
          <w:rFonts w:ascii="Arial" w:hAnsi="Arial" w:cs="Arial"/>
          <w:sz w:val="22"/>
          <w:szCs w:val="22"/>
          <w:lang w:val="en-GB"/>
        </w:rPr>
      </w:pPr>
      <w:r w:rsidRPr="002E7169">
        <w:rPr>
          <w:rFonts w:ascii="Arial" w:hAnsi="Arial" w:cs="Arial"/>
          <w:sz w:val="22"/>
          <w:szCs w:val="22"/>
          <w:lang w:val="en-GB"/>
        </w:rPr>
        <w:t xml:space="preserve">This does not mean, however, that events that took place before the inception of the Mission are </w:t>
      </w:r>
      <w:r w:rsidR="00145A19" w:rsidRPr="002E7169">
        <w:rPr>
          <w:rFonts w:ascii="Arial" w:hAnsi="Arial" w:cs="Arial"/>
          <w:sz w:val="22"/>
          <w:szCs w:val="22"/>
          <w:lang w:val="en-GB"/>
        </w:rPr>
        <w:t xml:space="preserve">necessarily </w:t>
      </w:r>
      <w:r w:rsidRPr="002E7169">
        <w:rPr>
          <w:rFonts w:ascii="Arial" w:hAnsi="Arial" w:cs="Arial"/>
          <w:sz w:val="22"/>
          <w:szCs w:val="22"/>
          <w:lang w:val="en-GB"/>
        </w:rPr>
        <w:t xml:space="preserve">of no relevance to the Panel. </w:t>
      </w:r>
      <w:r w:rsidR="00145A19" w:rsidRPr="002E7169">
        <w:rPr>
          <w:rFonts w:ascii="Arial" w:hAnsi="Arial" w:cs="Arial"/>
          <w:sz w:val="22"/>
          <w:szCs w:val="22"/>
          <w:lang w:val="en-GB"/>
        </w:rPr>
        <w:t xml:space="preserve">A determination will have to be made as to whether the Mission was competent over a matter and, if so, whether it failed to deal with it in a diligent manner consistent with relevant human rights exigencies. </w:t>
      </w:r>
    </w:p>
    <w:p w14:paraId="5F175E3C" w14:textId="77777777" w:rsidR="00145A19" w:rsidRPr="002E7169" w:rsidRDefault="00145A19" w:rsidP="002E7169">
      <w:pPr>
        <w:suppressAutoHyphens/>
        <w:autoSpaceDE w:val="0"/>
        <w:spacing w:line="360" w:lineRule="auto"/>
        <w:jc w:val="both"/>
        <w:rPr>
          <w:rFonts w:ascii="Arial" w:hAnsi="Arial" w:cs="Arial"/>
          <w:sz w:val="22"/>
          <w:szCs w:val="22"/>
          <w:lang w:val="en-GB"/>
        </w:rPr>
      </w:pPr>
    </w:p>
    <w:p w14:paraId="4960314B" w14:textId="799B8A59" w:rsidR="002A6BE4" w:rsidRPr="002E7169" w:rsidRDefault="00EA1911" w:rsidP="002E7169">
      <w:pPr>
        <w:suppressAutoHyphens/>
        <w:autoSpaceDE w:val="0"/>
        <w:spacing w:line="360" w:lineRule="auto"/>
        <w:jc w:val="both"/>
        <w:rPr>
          <w:rFonts w:ascii="Arial" w:hAnsi="Arial" w:cs="Arial"/>
          <w:color w:val="000000"/>
          <w:sz w:val="22"/>
          <w:szCs w:val="22"/>
          <w:lang w:val="en-GB"/>
        </w:rPr>
      </w:pPr>
      <w:r w:rsidRPr="002E7169">
        <w:rPr>
          <w:rFonts w:ascii="Arial" w:hAnsi="Arial" w:cs="Arial"/>
          <w:sz w:val="22"/>
          <w:szCs w:val="22"/>
          <w:lang w:val="en-GB"/>
        </w:rPr>
        <w:t>Thus, in a number of cases, the Panel has determined that EULEX had failed to investigate allegations of rights that had occurred prior to 9 December 2008, but in relation to which an obligation to investigate continued to exist in relation to the Mission.</w:t>
      </w:r>
      <w:r w:rsidRPr="002E7169">
        <w:rPr>
          <w:rStyle w:val="FootnoteReference"/>
          <w:rFonts w:ascii="Arial" w:hAnsi="Arial" w:cs="Arial"/>
          <w:sz w:val="22"/>
          <w:szCs w:val="22"/>
          <w:lang w:val="en-GB"/>
        </w:rPr>
        <w:footnoteReference w:id="50"/>
      </w:r>
      <w:r w:rsidR="002A6BE4" w:rsidRPr="002E7169">
        <w:rPr>
          <w:rFonts w:ascii="Arial" w:hAnsi="Arial" w:cs="Arial"/>
          <w:sz w:val="22"/>
          <w:szCs w:val="22"/>
          <w:lang w:val="en-GB"/>
        </w:rPr>
        <w:t xml:space="preserve"> </w:t>
      </w:r>
      <w:r w:rsidR="002A6BE4" w:rsidRPr="002E7169">
        <w:rPr>
          <w:rFonts w:ascii="Arial" w:hAnsi="Arial" w:cs="Arial"/>
          <w:color w:val="000000"/>
          <w:sz w:val="22"/>
          <w:szCs w:val="22"/>
          <w:lang w:val="en-GB"/>
        </w:rPr>
        <w:t xml:space="preserve">Therefore, the Panel may under certain circumstances have regard to facts </w:t>
      </w:r>
      <w:r w:rsidR="002A6BE4" w:rsidRPr="002E7169">
        <w:rPr>
          <w:rFonts w:ascii="Arial" w:hAnsi="Arial" w:cs="Arial"/>
          <w:color w:val="000000"/>
          <w:sz w:val="22"/>
          <w:szCs w:val="22"/>
          <w:lang w:val="en-GB"/>
        </w:rPr>
        <w:lastRenderedPageBreak/>
        <w:t>which occurred prior to that date because of their causal connection with subsequent facts which form the sole basis of the complaint submitted to the Panel.</w:t>
      </w:r>
      <w:r w:rsidR="002A6BE4" w:rsidRPr="002E7169">
        <w:rPr>
          <w:rStyle w:val="FootnoteReference"/>
          <w:rFonts w:ascii="Arial" w:hAnsi="Arial" w:cs="Arial"/>
          <w:color w:val="000000"/>
          <w:sz w:val="22"/>
          <w:szCs w:val="22"/>
          <w:lang w:val="en-GB"/>
        </w:rPr>
        <w:footnoteReference w:id="51"/>
      </w:r>
      <w:r w:rsidR="002A6BE4" w:rsidRPr="002E7169">
        <w:rPr>
          <w:rFonts w:ascii="Arial" w:hAnsi="Arial" w:cs="Arial"/>
          <w:color w:val="000000"/>
          <w:sz w:val="22"/>
          <w:szCs w:val="22"/>
          <w:lang w:val="en-GB"/>
        </w:rPr>
        <w:t xml:space="preserve"> For instance, whilst the Panel could not in principle consider a past violation of rights, it could consider an alleged violation by the mission of its procedural duty to investigate a case involving human rights violations that took place prior to the mission’s inception.</w:t>
      </w:r>
      <w:r w:rsidR="002A6BE4" w:rsidRPr="002E7169">
        <w:rPr>
          <w:rStyle w:val="FootnoteReference"/>
          <w:rFonts w:ascii="Arial" w:hAnsi="Arial" w:cs="Arial"/>
          <w:color w:val="000000"/>
          <w:sz w:val="22"/>
          <w:szCs w:val="22"/>
          <w:lang w:val="en-GB"/>
        </w:rPr>
        <w:footnoteReference w:id="52"/>
      </w:r>
      <w:r w:rsidR="002A6BE4" w:rsidRPr="002E7169">
        <w:rPr>
          <w:rFonts w:ascii="Arial" w:hAnsi="Arial" w:cs="Arial"/>
          <w:sz w:val="22"/>
          <w:szCs w:val="22"/>
          <w:lang w:val="en-GB" w:eastAsia="fr-FR"/>
        </w:rPr>
        <w:t xml:space="preserve"> </w:t>
      </w:r>
      <w:r w:rsidR="002A6BE4" w:rsidRPr="002E7169">
        <w:rPr>
          <w:rFonts w:ascii="Arial" w:hAnsi="Arial" w:cs="Arial"/>
          <w:color w:val="000000"/>
          <w:sz w:val="22"/>
          <w:szCs w:val="22"/>
          <w:lang w:val="en-GB"/>
        </w:rPr>
        <w:t>In such a case, there must be a genuine connection between the original violation and the date marking the beginning of the Panel’s jurisdiction for the procedural obligations imposed upon the mission to investigate the matter.</w:t>
      </w:r>
      <w:r w:rsidR="002A6BE4" w:rsidRPr="002E7169">
        <w:rPr>
          <w:rStyle w:val="FootnoteReference"/>
          <w:rFonts w:ascii="Arial" w:hAnsi="Arial" w:cs="Arial"/>
          <w:color w:val="000000"/>
          <w:sz w:val="22"/>
          <w:szCs w:val="22"/>
          <w:lang w:val="en-GB"/>
        </w:rPr>
        <w:footnoteReference w:id="53"/>
      </w:r>
    </w:p>
    <w:p w14:paraId="0A4FDFD1" w14:textId="77777777" w:rsidR="002A6BE4" w:rsidRPr="002E7169" w:rsidRDefault="002A6BE4" w:rsidP="002E7169">
      <w:pPr>
        <w:pStyle w:val="JuPara"/>
        <w:spacing w:line="360" w:lineRule="auto"/>
        <w:ind w:firstLine="0"/>
        <w:rPr>
          <w:rFonts w:ascii="Arial" w:hAnsi="Arial" w:cs="Arial"/>
          <w:color w:val="000000"/>
          <w:sz w:val="22"/>
          <w:szCs w:val="22"/>
        </w:rPr>
      </w:pPr>
    </w:p>
    <w:p w14:paraId="354A1909" w14:textId="77777777" w:rsidR="002A6BE4" w:rsidRPr="002E7169" w:rsidRDefault="002A6BE4" w:rsidP="002E7169">
      <w:pPr>
        <w:pStyle w:val="JuPara"/>
        <w:spacing w:line="360" w:lineRule="auto"/>
        <w:ind w:firstLine="0"/>
        <w:rPr>
          <w:rFonts w:ascii="Arial" w:hAnsi="Arial" w:cs="Arial"/>
          <w:color w:val="000000"/>
          <w:sz w:val="22"/>
          <w:szCs w:val="22"/>
        </w:rPr>
      </w:pPr>
      <w:r w:rsidRPr="002E7169">
        <w:rPr>
          <w:rFonts w:ascii="Arial" w:hAnsi="Arial" w:cs="Arial"/>
          <w:color w:val="000000"/>
          <w:sz w:val="22"/>
          <w:szCs w:val="22"/>
        </w:rPr>
        <w:t xml:space="preserve">The Panel would also be competent </w:t>
      </w:r>
      <w:r w:rsidRPr="002E7169">
        <w:rPr>
          <w:rFonts w:ascii="Arial" w:hAnsi="Arial" w:cs="Arial"/>
          <w:i/>
          <w:color w:val="000000"/>
          <w:sz w:val="22"/>
          <w:szCs w:val="22"/>
        </w:rPr>
        <w:t>ratione temporis</w:t>
      </w:r>
      <w:r w:rsidRPr="002E7169">
        <w:rPr>
          <w:rFonts w:ascii="Arial" w:hAnsi="Arial" w:cs="Arial"/>
          <w:color w:val="000000"/>
          <w:sz w:val="22"/>
          <w:szCs w:val="22"/>
        </w:rPr>
        <w:t xml:space="preserve"> to consider allegations of violations of rights that commenced prior to the creation of the Mission but which are on-going after that time. In such a case, the Panel would be competent only in relation to those violations (or aspects of the violations) that occurred after the mission’s creation. This would be the case, for instance, where an individual was a victim of an </w:t>
      </w:r>
      <w:r w:rsidRPr="002E7169">
        <w:rPr>
          <w:rFonts w:ascii="Arial" w:hAnsi="Arial" w:cs="Arial"/>
          <w:color w:val="000000"/>
          <w:sz w:val="22"/>
          <w:szCs w:val="22"/>
        </w:rPr>
        <w:lastRenderedPageBreak/>
        <w:t>act of enforced disappearance before the beginning of the mission but a failure to investigate such a case occurred (or continued) under the mission’s watch:</w:t>
      </w:r>
    </w:p>
    <w:p w14:paraId="76AF4C60" w14:textId="77777777" w:rsidR="002A6BE4" w:rsidRPr="002E7169" w:rsidRDefault="002A6BE4" w:rsidP="002E7169">
      <w:pPr>
        <w:pStyle w:val="JuPara"/>
        <w:spacing w:line="360" w:lineRule="auto"/>
        <w:ind w:firstLine="0"/>
        <w:rPr>
          <w:rFonts w:ascii="Arial" w:hAnsi="Arial" w:cs="Arial"/>
          <w:color w:val="000000"/>
          <w:sz w:val="22"/>
          <w:szCs w:val="22"/>
        </w:rPr>
      </w:pPr>
    </w:p>
    <w:p w14:paraId="3E120479" w14:textId="77777777" w:rsidR="002A6BE4" w:rsidRPr="002E7169" w:rsidRDefault="002A6BE4" w:rsidP="002E7169">
      <w:pPr>
        <w:pStyle w:val="JuPara"/>
        <w:spacing w:line="360" w:lineRule="auto"/>
        <w:ind w:left="567" w:firstLine="0"/>
        <w:rPr>
          <w:rFonts w:ascii="Arial" w:hAnsi="Arial" w:cs="Arial"/>
          <w:color w:val="000000"/>
          <w:sz w:val="22"/>
          <w:szCs w:val="22"/>
        </w:rPr>
      </w:pPr>
      <w:r w:rsidRPr="002E7169">
        <w:rPr>
          <w:rFonts w:ascii="Arial" w:hAnsi="Arial" w:cs="Arial"/>
          <w:sz w:val="22"/>
          <w:szCs w:val="22"/>
        </w:rPr>
        <w:t xml:space="preserve">“The Panel will once again stress that it is not competent to examine the disappearance of the complainant’s relative itself for which EULEX cannot be held responsible for obvious reasons. Nor will be Panel consider the initial failure to investigate which might be attributable to other authorities prior to the creation of the EULEX Mission. It will only consider those acts and omissions of the Mission itself that are said to have occurred from the point at which the Mission commenced to operate (see </w:t>
      </w:r>
      <w:r w:rsidRPr="002E7169">
        <w:rPr>
          <w:rFonts w:ascii="Arial" w:hAnsi="Arial" w:cs="Arial"/>
          <w:i/>
          <w:sz w:val="22"/>
          <w:szCs w:val="22"/>
        </w:rPr>
        <w:t>Sadiku-Syla</w:t>
      </w:r>
      <w:r w:rsidRPr="002E7169">
        <w:rPr>
          <w:rFonts w:ascii="Arial" w:hAnsi="Arial" w:cs="Arial"/>
          <w:sz w:val="22"/>
          <w:szCs w:val="22"/>
        </w:rPr>
        <w:t xml:space="preserve"> </w:t>
      </w:r>
      <w:r w:rsidRPr="002E7169">
        <w:rPr>
          <w:rFonts w:ascii="Arial" w:hAnsi="Arial" w:cs="Arial"/>
          <w:i/>
          <w:sz w:val="22"/>
          <w:szCs w:val="22"/>
        </w:rPr>
        <w:t>against EULEX</w:t>
      </w:r>
      <w:r w:rsidRPr="002E7169">
        <w:rPr>
          <w:rFonts w:ascii="Arial" w:hAnsi="Arial" w:cs="Arial"/>
          <w:sz w:val="22"/>
          <w:szCs w:val="22"/>
        </w:rPr>
        <w:t>, 2014-34, Decision on Admissibility of 29 September 2015, § 50).”</w:t>
      </w:r>
      <w:r w:rsidRPr="002E7169">
        <w:rPr>
          <w:rStyle w:val="FootnoteReference"/>
          <w:rFonts w:ascii="Arial" w:hAnsi="Arial" w:cs="Arial"/>
          <w:color w:val="000000"/>
          <w:sz w:val="22"/>
          <w:szCs w:val="22"/>
        </w:rPr>
        <w:footnoteReference w:id="54"/>
      </w:r>
      <w:r w:rsidRPr="002E7169">
        <w:rPr>
          <w:rFonts w:ascii="Arial" w:hAnsi="Arial" w:cs="Arial"/>
          <w:color w:val="000000"/>
          <w:sz w:val="22"/>
          <w:szCs w:val="22"/>
        </w:rPr>
        <w:t xml:space="preserve"> </w:t>
      </w:r>
    </w:p>
    <w:p w14:paraId="54426AB3" w14:textId="77777777" w:rsidR="002A6BE4" w:rsidRPr="002E7169" w:rsidRDefault="002A6BE4" w:rsidP="002E7169">
      <w:pPr>
        <w:suppressAutoHyphens/>
        <w:autoSpaceDE w:val="0"/>
        <w:spacing w:line="360" w:lineRule="auto"/>
        <w:jc w:val="both"/>
        <w:rPr>
          <w:rFonts w:ascii="Arial" w:hAnsi="Arial" w:cs="Arial"/>
          <w:color w:val="000000"/>
          <w:sz w:val="22"/>
          <w:szCs w:val="22"/>
          <w:lang w:val="en-GB"/>
        </w:rPr>
      </w:pPr>
    </w:p>
    <w:p w14:paraId="13043F94" w14:textId="2B58CAFE" w:rsidR="002A6BE4" w:rsidRPr="002E7169" w:rsidRDefault="002A6BE4" w:rsidP="002E7169">
      <w:pPr>
        <w:suppressAutoHyphens/>
        <w:autoSpaceDE w:val="0"/>
        <w:spacing w:line="360" w:lineRule="auto"/>
        <w:jc w:val="both"/>
        <w:rPr>
          <w:rFonts w:ascii="Arial" w:hAnsi="Arial" w:cs="Arial"/>
          <w:color w:val="000000"/>
          <w:sz w:val="22"/>
          <w:szCs w:val="22"/>
          <w:lang w:val="en-GB"/>
        </w:rPr>
      </w:pPr>
      <w:r w:rsidRPr="002E7169">
        <w:rPr>
          <w:rFonts w:ascii="Arial" w:hAnsi="Arial" w:cs="Arial"/>
          <w:color w:val="000000"/>
          <w:sz w:val="22"/>
          <w:szCs w:val="22"/>
          <w:lang w:val="en-GB"/>
        </w:rPr>
        <w:t xml:space="preserve">This means that the Panel will be competent only in relation to those acts or omissions of the mission that occurred during the relevant timeframe. Thus, where an act of enforced disappearance has </w:t>
      </w:r>
      <w:r w:rsidR="000E144C" w:rsidRPr="002E7169">
        <w:rPr>
          <w:rFonts w:ascii="Arial" w:hAnsi="Arial" w:cs="Arial"/>
          <w:i/>
          <w:color w:val="000000"/>
          <w:sz w:val="22"/>
          <w:szCs w:val="22"/>
          <w:lang w:val="en-GB"/>
        </w:rPr>
        <w:t>commenced</w:t>
      </w:r>
      <w:r w:rsidRPr="002E7169">
        <w:rPr>
          <w:rFonts w:ascii="Arial" w:hAnsi="Arial" w:cs="Arial"/>
          <w:color w:val="000000"/>
          <w:sz w:val="22"/>
          <w:szCs w:val="22"/>
          <w:lang w:val="en-GB"/>
        </w:rPr>
        <w:t xml:space="preserve"> before the inception of the mission, the mission could not be held responsible for the </w:t>
      </w:r>
      <w:r w:rsidR="000E144C" w:rsidRPr="002E7169">
        <w:rPr>
          <w:rFonts w:ascii="Arial" w:hAnsi="Arial" w:cs="Arial"/>
          <w:color w:val="000000"/>
          <w:sz w:val="22"/>
          <w:szCs w:val="22"/>
          <w:lang w:val="en-GB"/>
        </w:rPr>
        <w:t xml:space="preserve">initial acts that resulted in a </w:t>
      </w:r>
      <w:r w:rsidRPr="002E7169">
        <w:rPr>
          <w:rFonts w:ascii="Arial" w:hAnsi="Arial" w:cs="Arial"/>
          <w:color w:val="000000"/>
          <w:sz w:val="22"/>
          <w:szCs w:val="22"/>
          <w:lang w:val="en-GB"/>
        </w:rPr>
        <w:t xml:space="preserve">disappearance but only for subsequent actions or omissions that are attributable to the mission </w:t>
      </w:r>
      <w:r w:rsidR="000E144C" w:rsidRPr="002E7169">
        <w:rPr>
          <w:rFonts w:ascii="Arial" w:hAnsi="Arial" w:cs="Arial"/>
          <w:color w:val="000000"/>
          <w:sz w:val="22"/>
          <w:szCs w:val="22"/>
          <w:lang w:val="en-GB"/>
        </w:rPr>
        <w:t>during the time of activity of the Mission</w:t>
      </w:r>
      <w:r w:rsidRPr="002E7169">
        <w:rPr>
          <w:rFonts w:ascii="Arial" w:hAnsi="Arial" w:cs="Arial"/>
          <w:color w:val="000000"/>
          <w:sz w:val="22"/>
          <w:szCs w:val="22"/>
          <w:lang w:val="en-GB"/>
        </w:rPr>
        <w:t>.</w:t>
      </w:r>
      <w:r w:rsidRPr="002E7169">
        <w:rPr>
          <w:rStyle w:val="FootnoteReference"/>
          <w:rFonts w:ascii="Arial" w:hAnsi="Arial" w:cs="Arial"/>
          <w:sz w:val="22"/>
          <w:szCs w:val="22"/>
          <w:lang w:val="en-GB"/>
        </w:rPr>
        <w:footnoteReference w:id="55"/>
      </w:r>
    </w:p>
    <w:p w14:paraId="2507CF7C" w14:textId="77777777" w:rsidR="002A6BE4" w:rsidRPr="002E7169" w:rsidRDefault="002A6BE4" w:rsidP="002E7169">
      <w:pPr>
        <w:suppressAutoHyphens/>
        <w:autoSpaceDE w:val="0"/>
        <w:spacing w:line="360" w:lineRule="auto"/>
        <w:jc w:val="both"/>
        <w:rPr>
          <w:rFonts w:ascii="Arial" w:hAnsi="Arial" w:cs="Arial"/>
          <w:color w:val="000000"/>
          <w:sz w:val="22"/>
          <w:szCs w:val="22"/>
          <w:lang w:val="en-GB"/>
        </w:rPr>
      </w:pPr>
    </w:p>
    <w:p w14:paraId="1ACAC7B4" w14:textId="4A04B7AE" w:rsidR="000E144C" w:rsidRPr="00BE5F6F" w:rsidRDefault="00BE5F6F" w:rsidP="00BE5F6F">
      <w:pPr>
        <w:suppressAutoHyphens/>
        <w:autoSpaceDE w:val="0"/>
        <w:spacing w:line="360" w:lineRule="auto"/>
        <w:ind w:left="1418"/>
        <w:jc w:val="both"/>
        <w:rPr>
          <w:rFonts w:ascii="Arial" w:hAnsi="Arial" w:cs="Arial"/>
          <w:b/>
          <w:color w:val="4F81BD" w:themeColor="accent1"/>
          <w:sz w:val="22"/>
          <w:szCs w:val="22"/>
          <w:lang w:val="en-GB"/>
        </w:rPr>
      </w:pPr>
      <w:r w:rsidRPr="00BE5F6F">
        <w:rPr>
          <w:rFonts w:ascii="Arial" w:hAnsi="Arial" w:cs="Arial"/>
          <w:b/>
          <w:color w:val="4F81BD" w:themeColor="accent1"/>
          <w:sz w:val="22"/>
          <w:szCs w:val="22"/>
          <w:lang w:val="en-GB"/>
        </w:rPr>
        <w:t xml:space="preserve">2.3.3 </w:t>
      </w:r>
      <w:r w:rsidR="000E144C" w:rsidRPr="00BE5F6F">
        <w:rPr>
          <w:rFonts w:ascii="Arial" w:hAnsi="Arial" w:cs="Arial"/>
          <w:b/>
          <w:color w:val="4F81BD" w:themeColor="accent1"/>
          <w:sz w:val="22"/>
          <w:szCs w:val="22"/>
          <w:lang w:val="en-GB"/>
        </w:rPr>
        <w:t xml:space="preserve">Successive involvement of different authorities and competence of the Panel </w:t>
      </w:r>
    </w:p>
    <w:p w14:paraId="29DA4345" w14:textId="13C5DC73" w:rsidR="000E144C" w:rsidRPr="002E7169" w:rsidRDefault="002A6BE4" w:rsidP="002E7169">
      <w:pPr>
        <w:suppressAutoHyphens/>
        <w:autoSpaceDE w:val="0"/>
        <w:spacing w:line="360" w:lineRule="auto"/>
        <w:jc w:val="both"/>
        <w:rPr>
          <w:rFonts w:ascii="Arial" w:hAnsi="Arial" w:cs="Arial"/>
          <w:color w:val="000000"/>
          <w:sz w:val="22"/>
          <w:szCs w:val="22"/>
          <w:lang w:val="en-GB"/>
        </w:rPr>
      </w:pPr>
      <w:r w:rsidRPr="002E7169">
        <w:rPr>
          <w:rFonts w:ascii="Arial" w:hAnsi="Arial" w:cs="Arial"/>
          <w:color w:val="000000"/>
          <w:sz w:val="22"/>
          <w:szCs w:val="22"/>
          <w:lang w:val="en-GB"/>
        </w:rPr>
        <w:t>The fact that a succession of authorities followed in each other’s steps in investigating a particular allegation of rights violation cannot in principle prejudice a claimant. Therefore, whilst the Mission can only ever be held responsible for its own actions (and failures), it cannot evade that responsibility by pointing to the failures of others. A claimant is fully entitled to seek relief from the Mission in relation to that part of the harm that it is able to pin onto the mission and relief from another entity that might also have contributed to the violation of his rights.</w:t>
      </w:r>
      <w:r w:rsidRPr="002E7169">
        <w:rPr>
          <w:rStyle w:val="FootnoteReference"/>
          <w:rFonts w:ascii="Arial" w:hAnsi="Arial" w:cs="Arial"/>
          <w:sz w:val="22"/>
          <w:szCs w:val="22"/>
          <w:lang w:val="en-GB"/>
        </w:rPr>
        <w:footnoteReference w:id="56"/>
      </w:r>
    </w:p>
    <w:p w14:paraId="35537806" w14:textId="77777777" w:rsidR="000E144C" w:rsidRPr="002E7169" w:rsidRDefault="000E144C" w:rsidP="002E7169">
      <w:pPr>
        <w:suppressAutoHyphens/>
        <w:autoSpaceDE w:val="0"/>
        <w:spacing w:line="360" w:lineRule="auto"/>
        <w:jc w:val="both"/>
        <w:rPr>
          <w:rFonts w:ascii="Arial" w:hAnsi="Arial" w:cs="Arial"/>
          <w:color w:val="000000"/>
          <w:sz w:val="22"/>
          <w:szCs w:val="22"/>
          <w:lang w:val="en-GB"/>
        </w:rPr>
      </w:pPr>
    </w:p>
    <w:p w14:paraId="36757F3A" w14:textId="77777777" w:rsidR="002A6BE4" w:rsidRPr="002E7169" w:rsidRDefault="002A6BE4" w:rsidP="002E7169">
      <w:pPr>
        <w:spacing w:line="360" w:lineRule="auto"/>
        <w:rPr>
          <w:rFonts w:ascii="Arial" w:hAnsi="Arial" w:cs="Arial"/>
          <w:sz w:val="22"/>
          <w:szCs w:val="22"/>
        </w:rPr>
      </w:pPr>
    </w:p>
    <w:p w14:paraId="51A64313" w14:textId="715E923A" w:rsidR="000562AC" w:rsidRPr="002E7169" w:rsidRDefault="00704E92" w:rsidP="002E7169">
      <w:pPr>
        <w:pStyle w:val="Heading2"/>
        <w:spacing w:line="360" w:lineRule="auto"/>
        <w:ind w:left="720" w:firstLine="720"/>
        <w:rPr>
          <w:rFonts w:cs="Arial"/>
          <w:sz w:val="22"/>
          <w:szCs w:val="22"/>
          <w:lang w:val="en-GB"/>
        </w:rPr>
      </w:pPr>
      <w:bookmarkStart w:id="11" w:name="_Toc496014022"/>
      <w:r w:rsidRPr="002E7169">
        <w:rPr>
          <w:rFonts w:cs="Arial"/>
          <w:sz w:val="22"/>
          <w:szCs w:val="22"/>
          <w:lang w:val="en-GB"/>
        </w:rPr>
        <w:lastRenderedPageBreak/>
        <w:t>2.4</w:t>
      </w:r>
      <w:r w:rsidRPr="002E7169">
        <w:rPr>
          <w:rFonts w:cs="Arial"/>
          <w:sz w:val="22"/>
          <w:szCs w:val="22"/>
          <w:lang w:val="en-GB"/>
        </w:rPr>
        <w:tab/>
      </w:r>
      <w:r w:rsidR="00364A37" w:rsidRPr="002E7169">
        <w:rPr>
          <w:rFonts w:cs="Arial"/>
          <w:i/>
          <w:sz w:val="22"/>
          <w:szCs w:val="22"/>
          <w:lang w:val="en-GB"/>
        </w:rPr>
        <w:t>Ratione personae</w:t>
      </w:r>
      <w:bookmarkEnd w:id="11"/>
      <w:r w:rsidR="00364A37" w:rsidRPr="002E7169">
        <w:rPr>
          <w:rFonts w:cs="Arial"/>
          <w:sz w:val="22"/>
          <w:szCs w:val="22"/>
          <w:lang w:val="en-GB"/>
        </w:rPr>
        <w:t xml:space="preserve"> </w:t>
      </w:r>
    </w:p>
    <w:p w14:paraId="11F3D913" w14:textId="32075B8A" w:rsidR="000E144C" w:rsidRPr="00BE5F6F" w:rsidRDefault="00BE5F6F" w:rsidP="00BE5F6F">
      <w:pPr>
        <w:spacing w:line="360" w:lineRule="auto"/>
        <w:ind w:left="1418"/>
        <w:jc w:val="both"/>
        <w:rPr>
          <w:rFonts w:ascii="Arial" w:hAnsi="Arial" w:cs="Arial"/>
          <w:b/>
          <w:color w:val="4F81BD" w:themeColor="accent1"/>
          <w:sz w:val="22"/>
          <w:szCs w:val="22"/>
          <w:lang w:val="en-GB"/>
        </w:rPr>
      </w:pPr>
      <w:r w:rsidRPr="00BE5F6F">
        <w:rPr>
          <w:rFonts w:ascii="Arial" w:hAnsi="Arial" w:cs="Arial"/>
          <w:b/>
          <w:color w:val="4F81BD" w:themeColor="accent1"/>
          <w:sz w:val="22"/>
          <w:szCs w:val="22"/>
          <w:lang w:val="en-GB"/>
        </w:rPr>
        <w:t xml:space="preserve">2.4.1 </w:t>
      </w:r>
      <w:r w:rsidR="000E144C" w:rsidRPr="00BE5F6F">
        <w:rPr>
          <w:rFonts w:ascii="Arial" w:hAnsi="Arial" w:cs="Arial"/>
          <w:b/>
          <w:color w:val="4F81BD" w:themeColor="accent1"/>
          <w:sz w:val="22"/>
          <w:szCs w:val="22"/>
          <w:lang w:val="en-GB"/>
        </w:rPr>
        <w:t>Panel’s competence is limited to acts and omission attributable to EULEX Kosovo</w:t>
      </w:r>
    </w:p>
    <w:p w14:paraId="0BD3E2E9" w14:textId="52DB5BAF" w:rsidR="00F03D7F" w:rsidRPr="002E7169" w:rsidRDefault="00F03D7F" w:rsidP="002E7169">
      <w:pPr>
        <w:spacing w:line="360" w:lineRule="auto"/>
        <w:jc w:val="both"/>
        <w:rPr>
          <w:rFonts w:ascii="Arial" w:hAnsi="Arial" w:cs="Arial"/>
          <w:sz w:val="22"/>
          <w:szCs w:val="22"/>
          <w:lang w:val="en-GB"/>
        </w:rPr>
      </w:pPr>
      <w:r w:rsidRPr="002E7169">
        <w:rPr>
          <w:rFonts w:ascii="Arial" w:hAnsi="Arial" w:cs="Arial"/>
          <w:sz w:val="22"/>
          <w:szCs w:val="22"/>
          <w:lang w:val="en-GB"/>
        </w:rPr>
        <w:t>The Panel only has jurisdiction over acts and omission of EULEX Kosovo. It is not competent to deal with violations attributable to any third party.</w:t>
      </w:r>
      <w:r w:rsidRPr="002E7169">
        <w:rPr>
          <w:rStyle w:val="FootnoteReference"/>
          <w:rFonts w:ascii="Arial" w:hAnsi="Arial" w:cs="Arial"/>
          <w:sz w:val="22"/>
          <w:szCs w:val="22"/>
          <w:lang w:val="en-GB"/>
        </w:rPr>
        <w:footnoteReference w:id="57"/>
      </w:r>
      <w:r w:rsidR="000E144C" w:rsidRPr="002E7169">
        <w:rPr>
          <w:rFonts w:ascii="Arial" w:hAnsi="Arial" w:cs="Arial"/>
          <w:sz w:val="22"/>
          <w:szCs w:val="22"/>
          <w:lang w:val="en-GB"/>
        </w:rPr>
        <w:t xml:space="preserve"> Therefore, the Panel made it clear on a number of occasions that it had no competence to deal with complaints pertaining to the acts of UNMIK or to local authorities. </w:t>
      </w:r>
    </w:p>
    <w:p w14:paraId="3A56E465" w14:textId="77777777" w:rsidR="00CD49A6" w:rsidRPr="002E7169" w:rsidRDefault="00CD49A6" w:rsidP="002E7169">
      <w:pPr>
        <w:spacing w:line="360" w:lineRule="auto"/>
        <w:jc w:val="both"/>
        <w:rPr>
          <w:rFonts w:ascii="Arial" w:hAnsi="Arial" w:cs="Arial"/>
          <w:sz w:val="22"/>
          <w:szCs w:val="22"/>
          <w:lang w:val="en-GB"/>
        </w:rPr>
      </w:pPr>
    </w:p>
    <w:p w14:paraId="037C2B6F" w14:textId="5F4F81FE" w:rsidR="000E144C" w:rsidRPr="00BE5F6F" w:rsidRDefault="00BE5F6F" w:rsidP="00BE5F6F">
      <w:pPr>
        <w:spacing w:line="360" w:lineRule="auto"/>
        <w:ind w:left="1418"/>
        <w:jc w:val="both"/>
        <w:rPr>
          <w:rFonts w:ascii="Arial" w:hAnsi="Arial" w:cs="Arial"/>
          <w:b/>
          <w:bCs/>
          <w:color w:val="4F81BD" w:themeColor="accent1"/>
          <w:sz w:val="22"/>
          <w:szCs w:val="22"/>
          <w:lang w:val="en-GB"/>
        </w:rPr>
      </w:pPr>
      <w:r w:rsidRPr="00BE5F6F">
        <w:rPr>
          <w:rFonts w:ascii="Arial" w:hAnsi="Arial" w:cs="Arial"/>
          <w:b/>
          <w:bCs/>
          <w:color w:val="4F81BD" w:themeColor="accent1"/>
          <w:sz w:val="22"/>
          <w:szCs w:val="22"/>
          <w:lang w:val="en-GB"/>
        </w:rPr>
        <w:t xml:space="preserve">2.4.2 </w:t>
      </w:r>
      <w:r w:rsidR="000E144C" w:rsidRPr="00BE5F6F">
        <w:rPr>
          <w:rFonts w:ascii="Arial" w:hAnsi="Arial" w:cs="Arial"/>
          <w:b/>
          <w:bCs/>
          <w:color w:val="4F81BD" w:themeColor="accent1"/>
          <w:sz w:val="22"/>
          <w:szCs w:val="22"/>
          <w:lang w:val="en-GB"/>
        </w:rPr>
        <w:t xml:space="preserve">Responsibility of the Mission over the actions of its staff and organs </w:t>
      </w:r>
    </w:p>
    <w:p w14:paraId="29892260" w14:textId="4D9AEB49" w:rsidR="00CD49A6" w:rsidRPr="002E7169" w:rsidRDefault="00CD49A6" w:rsidP="002E7169">
      <w:pPr>
        <w:spacing w:line="360" w:lineRule="auto"/>
        <w:jc w:val="both"/>
        <w:rPr>
          <w:rFonts w:ascii="Arial" w:hAnsi="Arial" w:cs="Arial"/>
          <w:bCs/>
          <w:sz w:val="22"/>
          <w:szCs w:val="22"/>
          <w:lang w:val="en-GB"/>
        </w:rPr>
      </w:pPr>
      <w:r w:rsidRPr="002E7169">
        <w:rPr>
          <w:rFonts w:ascii="Arial" w:hAnsi="Arial" w:cs="Arial"/>
          <w:bCs/>
          <w:sz w:val="22"/>
          <w:szCs w:val="22"/>
          <w:lang w:val="en-GB"/>
        </w:rPr>
        <w:t>It is not relevant for the purpose of determining whether the impugned actions comes within the scope of the mission’s executive mandate what office or organ of the mission is responsible for that conduct. What matters is the nature of the function performed and whether this function comes within the scope of the “executive” mandate of the Mission. The Mission cannot for instance evade its human rights obligations by distinguishing between its executive and “strengthening” functions.</w:t>
      </w:r>
      <w:r w:rsidRPr="002E7169">
        <w:rPr>
          <w:rStyle w:val="FootnoteReference"/>
          <w:rFonts w:ascii="Arial" w:hAnsi="Arial" w:cs="Arial"/>
          <w:bCs/>
          <w:sz w:val="22"/>
          <w:szCs w:val="22"/>
          <w:lang w:val="en-GB"/>
        </w:rPr>
        <w:footnoteReference w:id="58"/>
      </w:r>
      <w:r w:rsidRPr="002E7169">
        <w:rPr>
          <w:rFonts w:ascii="Arial" w:hAnsi="Arial" w:cs="Arial"/>
          <w:bCs/>
          <w:sz w:val="22"/>
          <w:szCs w:val="22"/>
          <w:lang w:val="en-GB"/>
        </w:rPr>
        <w:t xml:space="preserve"> Similarly, the fact </w:t>
      </w:r>
      <w:r w:rsidRPr="002E7169">
        <w:rPr>
          <w:rFonts w:ascii="Arial" w:hAnsi="Arial" w:cs="Arial"/>
          <w:bCs/>
          <w:sz w:val="22"/>
          <w:szCs w:val="22"/>
          <w:lang w:val="en-GB"/>
        </w:rPr>
        <w:lastRenderedPageBreak/>
        <w:t>that the EULEX staff acted as a training advisor to the police rather than as a police officer would not allow the Mission to evade its human rights responsibilities in relation to his actions.</w:t>
      </w:r>
      <w:r w:rsidRPr="002E7169">
        <w:rPr>
          <w:rStyle w:val="FootnoteReference"/>
          <w:rFonts w:ascii="Arial" w:hAnsi="Arial" w:cs="Arial"/>
          <w:bCs/>
          <w:sz w:val="22"/>
          <w:szCs w:val="22"/>
          <w:lang w:val="en-GB"/>
        </w:rPr>
        <w:footnoteReference w:id="59"/>
      </w:r>
    </w:p>
    <w:p w14:paraId="0CF8961E" w14:textId="77777777" w:rsidR="00CD49A6" w:rsidRPr="002E7169" w:rsidRDefault="00CD49A6" w:rsidP="002E7169">
      <w:pPr>
        <w:spacing w:line="360" w:lineRule="auto"/>
        <w:jc w:val="both"/>
        <w:rPr>
          <w:rFonts w:ascii="Arial" w:hAnsi="Arial" w:cs="Arial"/>
          <w:bCs/>
          <w:sz w:val="22"/>
          <w:szCs w:val="22"/>
          <w:lang w:val="en-GB"/>
        </w:rPr>
      </w:pPr>
    </w:p>
    <w:p w14:paraId="445921BD" w14:textId="6070FDB0" w:rsidR="000E144C" w:rsidRPr="00BE5F6F" w:rsidRDefault="00BE5F6F" w:rsidP="00BE5F6F">
      <w:pPr>
        <w:spacing w:line="360" w:lineRule="auto"/>
        <w:ind w:left="1418"/>
        <w:jc w:val="both"/>
        <w:rPr>
          <w:rFonts w:ascii="Arial" w:hAnsi="Arial" w:cs="Arial"/>
          <w:b/>
          <w:bCs/>
          <w:color w:val="4F81BD" w:themeColor="accent1"/>
          <w:sz w:val="22"/>
          <w:szCs w:val="22"/>
          <w:lang w:val="en-GB"/>
        </w:rPr>
      </w:pPr>
      <w:r w:rsidRPr="00BE5F6F">
        <w:rPr>
          <w:rFonts w:ascii="Arial" w:hAnsi="Arial" w:cs="Arial"/>
          <w:b/>
          <w:bCs/>
          <w:color w:val="4F81BD" w:themeColor="accent1"/>
          <w:sz w:val="22"/>
          <w:szCs w:val="22"/>
          <w:lang w:val="en-GB"/>
        </w:rPr>
        <w:t xml:space="preserve">2.4.3 </w:t>
      </w:r>
      <w:r w:rsidR="000E144C" w:rsidRPr="00BE5F6F">
        <w:rPr>
          <w:rFonts w:ascii="Arial" w:hAnsi="Arial" w:cs="Arial"/>
          <w:b/>
          <w:bCs/>
          <w:i/>
          <w:color w:val="4F81BD" w:themeColor="accent1"/>
          <w:sz w:val="22"/>
          <w:szCs w:val="22"/>
          <w:lang w:val="en-GB"/>
        </w:rPr>
        <w:t>Ultra vires</w:t>
      </w:r>
      <w:r w:rsidR="000E144C" w:rsidRPr="00BE5F6F">
        <w:rPr>
          <w:rFonts w:ascii="Arial" w:hAnsi="Arial" w:cs="Arial"/>
          <w:b/>
          <w:bCs/>
          <w:color w:val="4F81BD" w:themeColor="accent1"/>
          <w:sz w:val="22"/>
          <w:szCs w:val="22"/>
          <w:lang w:val="en-GB"/>
        </w:rPr>
        <w:t xml:space="preserve"> actions </w:t>
      </w:r>
    </w:p>
    <w:p w14:paraId="37A3BD30" w14:textId="77777777" w:rsidR="00CD49A6" w:rsidRPr="002E7169" w:rsidRDefault="00CD49A6" w:rsidP="002E7169">
      <w:pPr>
        <w:spacing w:line="360" w:lineRule="auto"/>
        <w:jc w:val="both"/>
        <w:rPr>
          <w:rFonts w:ascii="Arial" w:hAnsi="Arial" w:cs="Arial"/>
          <w:sz w:val="22"/>
          <w:szCs w:val="22"/>
          <w:lang w:val="en-GB"/>
        </w:rPr>
      </w:pPr>
      <w:r w:rsidRPr="002E7169">
        <w:rPr>
          <w:rFonts w:ascii="Arial" w:hAnsi="Arial" w:cs="Arial"/>
          <w:bCs/>
          <w:i/>
          <w:sz w:val="22"/>
          <w:szCs w:val="22"/>
          <w:lang w:val="en-GB"/>
        </w:rPr>
        <w:t>Ultra vires</w:t>
      </w:r>
      <w:r w:rsidRPr="002E7169">
        <w:rPr>
          <w:rFonts w:ascii="Arial" w:hAnsi="Arial" w:cs="Arial"/>
          <w:bCs/>
          <w:sz w:val="22"/>
          <w:szCs w:val="22"/>
          <w:lang w:val="en-GB"/>
        </w:rPr>
        <w:t xml:space="preserve"> actions (and even unlawful acts) could also come within the competence of the Panel if the underlying act is sufficiently connected to the performance of the Mission’s executive mandate and that the individual responsible remained at the time under the overall authority of the mission. This was the case, for instance, in the Zahiti case, where an EULEX policeman had intentionally ran over a Kosovo police woman and thus caused injury to her. </w:t>
      </w:r>
      <w:r w:rsidRPr="002E7169">
        <w:rPr>
          <w:rFonts w:ascii="Arial" w:hAnsi="Arial" w:cs="Arial"/>
          <w:sz w:val="22"/>
          <w:szCs w:val="22"/>
          <w:lang w:val="en-GB"/>
        </w:rPr>
        <w:t xml:space="preserve">The unlawful character of the conduct does not exclude that the underlying act may be said to have formed part of the Mission’s executive mandate. In such a case, it must be shown, however, that the act is sufficiently connected to the performance of an aspect of the Mission’s executive mandate. Thus, in </w:t>
      </w:r>
      <w:r w:rsidRPr="002E7169">
        <w:rPr>
          <w:rFonts w:ascii="Arial" w:hAnsi="Arial" w:cs="Arial"/>
          <w:i/>
          <w:sz w:val="22"/>
          <w:szCs w:val="22"/>
          <w:lang w:val="en-GB"/>
        </w:rPr>
        <w:t>Zahiti</w:t>
      </w:r>
      <w:r w:rsidRPr="002E7169">
        <w:rPr>
          <w:rFonts w:ascii="Arial" w:hAnsi="Arial" w:cs="Arial"/>
          <w:sz w:val="22"/>
          <w:szCs w:val="22"/>
          <w:lang w:val="en-GB"/>
        </w:rPr>
        <w:t xml:space="preserve">, a case involving a (EULEX) police officer who rammed his car intentionally into a Kosovo police women, the Panel said this: </w:t>
      </w:r>
    </w:p>
    <w:p w14:paraId="1F9DAE6F" w14:textId="77777777" w:rsidR="00CD49A6" w:rsidRPr="002E7169" w:rsidRDefault="00CD49A6" w:rsidP="002E7169">
      <w:pPr>
        <w:spacing w:line="360" w:lineRule="auto"/>
        <w:jc w:val="both"/>
        <w:rPr>
          <w:rFonts w:ascii="Arial" w:hAnsi="Arial" w:cs="Arial"/>
          <w:sz w:val="22"/>
          <w:szCs w:val="22"/>
          <w:lang w:val="en-GB"/>
        </w:rPr>
      </w:pPr>
    </w:p>
    <w:p w14:paraId="7F39A38C" w14:textId="77777777" w:rsidR="00CD49A6" w:rsidRPr="002E7169" w:rsidRDefault="00CD49A6" w:rsidP="002E7169">
      <w:pPr>
        <w:spacing w:line="360" w:lineRule="auto"/>
        <w:ind w:left="567"/>
        <w:jc w:val="both"/>
        <w:rPr>
          <w:rFonts w:ascii="Arial" w:hAnsi="Arial" w:cs="Arial"/>
          <w:sz w:val="22"/>
          <w:szCs w:val="22"/>
        </w:rPr>
      </w:pPr>
      <w:r w:rsidRPr="002E7169">
        <w:rPr>
          <w:rFonts w:ascii="Arial" w:hAnsi="Arial" w:cs="Arial"/>
          <w:sz w:val="22"/>
          <w:szCs w:val="22"/>
          <w:lang w:val="en-GB"/>
        </w:rPr>
        <w:t xml:space="preserve">“33.The Panel adopts the approach developed by the Court, that </w:t>
      </w:r>
      <w:r w:rsidRPr="002E7169">
        <w:rPr>
          <w:rFonts w:ascii="Arial" w:hAnsi="Arial" w:cs="Arial"/>
          <w:sz w:val="22"/>
          <w:szCs w:val="22"/>
        </w:rPr>
        <w:t xml:space="preserve">“[a] </w:t>
      </w:r>
      <w:r w:rsidRPr="002E7169">
        <w:rPr>
          <w:rFonts w:ascii="Arial" w:hAnsi="Arial" w:cs="Arial"/>
          <w:i/>
          <w:sz w:val="22"/>
          <w:szCs w:val="22"/>
        </w:rPr>
        <w:t>State may also be held responsible even where its agents are acting ultra vires or contrary to instructions</w:t>
      </w:r>
      <w:r w:rsidRPr="002E7169">
        <w:rPr>
          <w:rFonts w:ascii="Arial" w:hAnsi="Arial" w:cs="Arial"/>
          <w:sz w:val="22"/>
          <w:szCs w:val="22"/>
          <w:lang w:val="en-GB"/>
        </w:rPr>
        <w:t xml:space="preserve"> (see </w:t>
      </w:r>
      <w:r w:rsidRPr="002E7169">
        <w:rPr>
          <w:rFonts w:ascii="Arial" w:hAnsi="Arial" w:cs="Arial"/>
          <w:i/>
          <w:sz w:val="22"/>
          <w:szCs w:val="22"/>
        </w:rPr>
        <w:t>Ilascu and others v. Russia and Moldova</w:t>
      </w:r>
      <w:r w:rsidRPr="002E7169">
        <w:rPr>
          <w:rFonts w:ascii="Arial" w:hAnsi="Arial" w:cs="Arial"/>
          <w:sz w:val="22"/>
          <w:szCs w:val="22"/>
        </w:rPr>
        <w:t>, application no. 48787/99, judgment of 8 July 2004, at par. 319, page 79).</w:t>
      </w:r>
    </w:p>
    <w:p w14:paraId="61444026" w14:textId="77777777" w:rsidR="00CD49A6" w:rsidRPr="002E7169" w:rsidRDefault="00CD49A6" w:rsidP="002E7169">
      <w:pPr>
        <w:spacing w:line="360" w:lineRule="auto"/>
        <w:ind w:left="567"/>
        <w:jc w:val="both"/>
        <w:rPr>
          <w:rFonts w:ascii="Arial" w:hAnsi="Arial" w:cs="Arial"/>
          <w:sz w:val="22"/>
          <w:szCs w:val="22"/>
        </w:rPr>
      </w:pPr>
      <w:r w:rsidRPr="002E7169">
        <w:rPr>
          <w:rFonts w:ascii="Arial" w:hAnsi="Arial" w:cs="Arial"/>
          <w:sz w:val="22"/>
          <w:szCs w:val="22"/>
        </w:rPr>
        <w:t>[...]</w:t>
      </w:r>
    </w:p>
    <w:p w14:paraId="125DC940" w14:textId="77777777" w:rsidR="00CD49A6" w:rsidRPr="002E7169" w:rsidRDefault="00CD49A6" w:rsidP="002E7169">
      <w:pPr>
        <w:suppressAutoHyphens/>
        <w:autoSpaceDE w:val="0"/>
        <w:spacing w:line="360" w:lineRule="auto"/>
        <w:ind w:left="567"/>
        <w:jc w:val="both"/>
        <w:rPr>
          <w:rFonts w:ascii="Arial" w:hAnsi="Arial" w:cs="Arial"/>
          <w:sz w:val="22"/>
          <w:szCs w:val="22"/>
          <w:lang w:val="pl-PL"/>
        </w:rPr>
      </w:pPr>
      <w:r w:rsidRPr="002E7169">
        <w:rPr>
          <w:rFonts w:ascii="Arial" w:hAnsi="Arial" w:cs="Arial"/>
          <w:sz w:val="22"/>
          <w:szCs w:val="22"/>
          <w:lang w:val="en-GB"/>
        </w:rPr>
        <w:t xml:space="preserve">35.The Panel notes </w:t>
      </w:r>
      <w:r w:rsidRPr="002E7169">
        <w:rPr>
          <w:rFonts w:ascii="Arial" w:hAnsi="Arial" w:cs="Arial"/>
          <w:sz w:val="22"/>
          <w:szCs w:val="22"/>
        </w:rPr>
        <w:t>the view expressed by the International Law Commission that it is</w:t>
      </w:r>
      <w:r w:rsidRPr="002E7169">
        <w:rPr>
          <w:rFonts w:ascii="Arial" w:hAnsi="Arial" w:cs="Arial"/>
          <w:i/>
          <w:sz w:val="22"/>
          <w:szCs w:val="22"/>
        </w:rPr>
        <w:t xml:space="preserve"> “a particular problem […] to determine whether a person who is a State organ acts in this capacity. It is irrelevant for that purpose if the person concerned may have had ulterior or improper motives or may be abusing public power. Where such a person acts in an apparently official capacity, or under colour of authority, the actions in question will be attributable to the State.</w:t>
      </w:r>
      <w:r w:rsidRPr="002E7169">
        <w:rPr>
          <w:rFonts w:ascii="Arial" w:hAnsi="Arial" w:cs="Arial"/>
          <w:sz w:val="22"/>
          <w:szCs w:val="22"/>
        </w:rPr>
        <w:t>” Further, state responsibility is excluded if “</w:t>
      </w:r>
      <w:r w:rsidRPr="002E7169">
        <w:rPr>
          <w:rFonts w:ascii="Arial" w:hAnsi="Arial" w:cs="Arial"/>
          <w:i/>
          <w:sz w:val="22"/>
          <w:szCs w:val="22"/>
        </w:rPr>
        <w:t xml:space="preserve">the act had no connection with the official function and was in fact merely the act of a private individual. The case of purely private conduct should not be confused with that of an organ functioning as such but </w:t>
      </w:r>
      <w:r w:rsidRPr="002E7169">
        <w:rPr>
          <w:rFonts w:ascii="Arial" w:hAnsi="Arial" w:cs="Arial"/>
          <w:i/>
          <w:sz w:val="22"/>
          <w:szCs w:val="22"/>
        </w:rPr>
        <w:lastRenderedPageBreak/>
        <w:t>acting ultra vires or in breach of the rules governing its operation. In this latter case, the organ is nevertheless acting in the name of the State</w:t>
      </w:r>
      <w:r w:rsidRPr="002E7169">
        <w:rPr>
          <w:rFonts w:ascii="Arial" w:hAnsi="Arial" w:cs="Arial"/>
          <w:sz w:val="22"/>
          <w:szCs w:val="22"/>
        </w:rPr>
        <w:t xml:space="preserve"> (see </w:t>
      </w:r>
      <w:r w:rsidRPr="002E7169">
        <w:rPr>
          <w:rFonts w:ascii="Arial" w:hAnsi="Arial" w:cs="Arial"/>
          <w:sz w:val="22"/>
          <w:szCs w:val="22"/>
          <w:lang w:val="pl-PL"/>
        </w:rPr>
        <w:t>“The International Law Commissions Articles on State Responsibility: Introduction, Text and Commentaries”, James Crawford, Cambridge University Press (2002) at page 99).”</w:t>
      </w:r>
      <w:r w:rsidRPr="002E7169">
        <w:rPr>
          <w:rStyle w:val="FootnoteReference"/>
          <w:rFonts w:ascii="Arial" w:hAnsi="Arial" w:cs="Arial"/>
          <w:bCs/>
          <w:sz w:val="22"/>
          <w:szCs w:val="22"/>
          <w:lang w:val="en-GB"/>
        </w:rPr>
        <w:t xml:space="preserve"> </w:t>
      </w:r>
      <w:r w:rsidRPr="002E7169">
        <w:rPr>
          <w:rStyle w:val="FootnoteReference"/>
          <w:rFonts w:ascii="Arial" w:hAnsi="Arial" w:cs="Arial"/>
          <w:bCs/>
          <w:sz w:val="22"/>
          <w:szCs w:val="22"/>
          <w:lang w:val="en-GB"/>
        </w:rPr>
        <w:footnoteReference w:id="60"/>
      </w:r>
    </w:p>
    <w:p w14:paraId="32FE4EC1" w14:textId="77777777" w:rsidR="00CD49A6" w:rsidRPr="002E7169" w:rsidRDefault="00CD49A6" w:rsidP="002E7169">
      <w:pPr>
        <w:spacing w:line="360" w:lineRule="auto"/>
        <w:jc w:val="center"/>
        <w:rPr>
          <w:rFonts w:ascii="Arial" w:hAnsi="Arial" w:cs="Arial"/>
          <w:sz w:val="22"/>
          <w:szCs w:val="22"/>
          <w:lang w:val="en-GB"/>
        </w:rPr>
      </w:pPr>
    </w:p>
    <w:p w14:paraId="08D19A93" w14:textId="69C12FA9" w:rsidR="000562AC" w:rsidRPr="002E7169" w:rsidRDefault="00CD49A6" w:rsidP="002E7169">
      <w:pPr>
        <w:spacing w:line="360" w:lineRule="auto"/>
        <w:jc w:val="both"/>
        <w:rPr>
          <w:rFonts w:ascii="Arial" w:hAnsi="Arial" w:cs="Arial"/>
          <w:sz w:val="22"/>
          <w:szCs w:val="22"/>
          <w:lang w:val="en-GB"/>
        </w:rPr>
      </w:pPr>
      <w:r w:rsidRPr="002E7169">
        <w:rPr>
          <w:rFonts w:ascii="Arial" w:hAnsi="Arial" w:cs="Arial"/>
          <w:sz w:val="22"/>
          <w:szCs w:val="22"/>
          <w:lang w:val="en-GB"/>
        </w:rPr>
        <w:t xml:space="preserve">The Panel proceeded to reject </w:t>
      </w:r>
      <w:r w:rsidRPr="002E7169">
        <w:rPr>
          <w:rFonts w:ascii="Arial" w:hAnsi="Arial" w:cs="Arial"/>
          <w:bCs/>
          <w:sz w:val="22"/>
          <w:szCs w:val="22"/>
          <w:lang w:val="en-GB"/>
        </w:rPr>
        <w:t>EULEX’s submissions that the Mission did not have “effective control” or “ultimate authority and control” over the activities of the staff member in question and therefore could not be held liable to acts or omissions imputable to it.</w:t>
      </w:r>
      <w:r w:rsidRPr="002E7169">
        <w:rPr>
          <w:rStyle w:val="FootnoteReference"/>
          <w:rFonts w:ascii="Arial" w:hAnsi="Arial" w:cs="Arial"/>
          <w:bCs/>
          <w:sz w:val="22"/>
          <w:szCs w:val="22"/>
          <w:lang w:val="en-GB"/>
        </w:rPr>
        <w:footnoteReference w:id="61"/>
      </w:r>
      <w:r w:rsidRPr="002E7169">
        <w:rPr>
          <w:rFonts w:ascii="Arial" w:hAnsi="Arial" w:cs="Arial"/>
          <w:sz w:val="22"/>
          <w:szCs w:val="22"/>
          <w:lang w:val="en-GB"/>
        </w:rPr>
        <w:t xml:space="preserve"> The Panel found the Mission responsible for the acts of the staff member on the basis that what could be connected to the Mission’s executive mandate was not his underlying act of violence but the Mission’s subsequent failure to provide an adequate remedy for the victim so that she could seek justice for what had been done to her.</w:t>
      </w:r>
      <w:r w:rsidRPr="002E7169">
        <w:rPr>
          <w:rStyle w:val="FootnoteReference"/>
          <w:rFonts w:ascii="Arial" w:hAnsi="Arial" w:cs="Arial"/>
          <w:sz w:val="22"/>
          <w:szCs w:val="22"/>
          <w:lang w:val="en-GB"/>
        </w:rPr>
        <w:footnoteReference w:id="62"/>
      </w:r>
    </w:p>
    <w:p w14:paraId="6C623B5E" w14:textId="6AEC915F" w:rsidR="00364A37" w:rsidRPr="002E7169" w:rsidRDefault="00704E92" w:rsidP="002E7169">
      <w:pPr>
        <w:pStyle w:val="Heading2"/>
        <w:spacing w:line="360" w:lineRule="auto"/>
        <w:ind w:left="720" w:firstLine="720"/>
        <w:rPr>
          <w:rFonts w:cs="Arial"/>
          <w:sz w:val="22"/>
          <w:szCs w:val="22"/>
          <w:lang w:val="en-GB"/>
        </w:rPr>
      </w:pPr>
      <w:bookmarkStart w:id="12" w:name="_Toc496014023"/>
      <w:r w:rsidRPr="002E7169">
        <w:rPr>
          <w:rFonts w:cs="Arial"/>
          <w:sz w:val="22"/>
          <w:szCs w:val="22"/>
          <w:lang w:val="en-GB"/>
        </w:rPr>
        <w:t>2.5</w:t>
      </w:r>
      <w:r w:rsidRPr="002E7169">
        <w:rPr>
          <w:rFonts w:cs="Arial"/>
          <w:sz w:val="22"/>
          <w:szCs w:val="22"/>
          <w:lang w:val="en-GB"/>
        </w:rPr>
        <w:tab/>
      </w:r>
      <w:r w:rsidR="00364A37" w:rsidRPr="002E7169">
        <w:rPr>
          <w:rFonts w:cs="Arial"/>
          <w:i/>
          <w:sz w:val="22"/>
          <w:szCs w:val="22"/>
          <w:lang w:val="en-GB"/>
        </w:rPr>
        <w:t>Ratione loci</w:t>
      </w:r>
      <w:bookmarkEnd w:id="12"/>
      <w:r w:rsidR="00364A37" w:rsidRPr="002E7169">
        <w:rPr>
          <w:rFonts w:cs="Arial"/>
          <w:sz w:val="22"/>
          <w:szCs w:val="22"/>
          <w:lang w:val="en-GB"/>
        </w:rPr>
        <w:t xml:space="preserve"> </w:t>
      </w:r>
    </w:p>
    <w:p w14:paraId="44C6B34A" w14:textId="714A1F53" w:rsidR="00B540A6" w:rsidRPr="002E7169" w:rsidRDefault="00CD49A6" w:rsidP="002E7169">
      <w:pPr>
        <w:spacing w:line="360" w:lineRule="auto"/>
        <w:jc w:val="both"/>
        <w:rPr>
          <w:rFonts w:ascii="Arial" w:hAnsi="Arial" w:cs="Arial"/>
          <w:sz w:val="22"/>
          <w:szCs w:val="22"/>
          <w:lang w:val="en-GB"/>
        </w:rPr>
      </w:pPr>
      <w:r w:rsidRPr="002E7169">
        <w:rPr>
          <w:rFonts w:ascii="Arial" w:hAnsi="Arial" w:cs="Arial"/>
          <w:sz w:val="22"/>
          <w:szCs w:val="22"/>
          <w:lang w:val="en-GB"/>
        </w:rPr>
        <w:t xml:space="preserve">The Panel’s jurisdiction over the acts and conduct of EULEX are not per se limited to any territorial area, although as a matter of fact, its competence will be limited in practice to the territory of Kosovo as the area over which EULEX’s executive mandate is operational. In </w:t>
      </w:r>
      <w:r w:rsidRPr="002E7169">
        <w:rPr>
          <w:rFonts w:ascii="Arial" w:hAnsi="Arial" w:cs="Arial"/>
          <w:i/>
          <w:sz w:val="22"/>
          <w:szCs w:val="22"/>
          <w:lang w:val="en-GB"/>
        </w:rPr>
        <w:t>Gecaj</w:t>
      </w:r>
      <w:r w:rsidRPr="002E7169">
        <w:rPr>
          <w:rFonts w:ascii="Arial" w:hAnsi="Arial" w:cs="Arial"/>
          <w:sz w:val="22"/>
          <w:szCs w:val="22"/>
          <w:lang w:val="en-GB"/>
        </w:rPr>
        <w:t xml:space="preserve">, the Panel thus made it clear that it would have no competence </w:t>
      </w:r>
      <w:r w:rsidRPr="002E7169">
        <w:rPr>
          <w:rFonts w:ascii="Arial" w:hAnsi="Arial" w:cs="Arial"/>
          <w:sz w:val="22"/>
          <w:szCs w:val="22"/>
          <w:lang w:val="en-GB"/>
        </w:rPr>
        <w:lastRenderedPageBreak/>
        <w:t>(</w:t>
      </w:r>
      <w:r w:rsidRPr="002E7169">
        <w:rPr>
          <w:rFonts w:ascii="Arial" w:hAnsi="Arial" w:cs="Arial"/>
          <w:i/>
          <w:sz w:val="22"/>
          <w:szCs w:val="22"/>
          <w:lang w:val="en-GB"/>
        </w:rPr>
        <w:t>ratione materiae</w:t>
      </w:r>
      <w:r w:rsidRPr="002E7169">
        <w:rPr>
          <w:rFonts w:ascii="Arial" w:hAnsi="Arial" w:cs="Arial"/>
          <w:sz w:val="22"/>
          <w:szCs w:val="22"/>
          <w:lang w:val="en-GB"/>
        </w:rPr>
        <w:t>) over the conduct of Swiss authorities in Switzerland, adding that “it has no jurisdiction over proceedings that took place outside Kosovo”.</w:t>
      </w:r>
      <w:r w:rsidRPr="002E7169">
        <w:rPr>
          <w:rStyle w:val="FootnoteReference"/>
          <w:rFonts w:ascii="Arial" w:hAnsi="Arial" w:cs="Arial"/>
          <w:sz w:val="22"/>
          <w:szCs w:val="22"/>
          <w:lang w:val="en-GB"/>
        </w:rPr>
        <w:footnoteReference w:id="63"/>
      </w:r>
    </w:p>
    <w:p w14:paraId="6433ED80" w14:textId="4B411E92" w:rsidR="00C351BD" w:rsidRPr="002E7169" w:rsidRDefault="00B540A6" w:rsidP="002E7169">
      <w:pPr>
        <w:spacing w:line="360" w:lineRule="auto"/>
        <w:jc w:val="both"/>
        <w:rPr>
          <w:rFonts w:ascii="Arial" w:hAnsi="Arial" w:cs="Arial"/>
          <w:sz w:val="22"/>
          <w:szCs w:val="22"/>
          <w:lang w:val="en-GB"/>
        </w:rPr>
      </w:pPr>
      <w:r w:rsidRPr="002E7169">
        <w:rPr>
          <w:rFonts w:ascii="Arial" w:hAnsi="Arial" w:cs="Arial"/>
          <w:sz w:val="22"/>
          <w:szCs w:val="22"/>
          <w:lang w:val="en-GB"/>
        </w:rPr>
        <w:br w:type="page"/>
      </w:r>
    </w:p>
    <w:p w14:paraId="5C5C0380" w14:textId="1DB803E4" w:rsidR="00364A37" w:rsidRPr="002E7169" w:rsidRDefault="00364A37" w:rsidP="002E7169">
      <w:pPr>
        <w:pStyle w:val="Heading1"/>
        <w:numPr>
          <w:ilvl w:val="0"/>
          <w:numId w:val="5"/>
        </w:numPr>
        <w:spacing w:line="360" w:lineRule="auto"/>
        <w:rPr>
          <w:rFonts w:cs="Arial"/>
          <w:sz w:val="22"/>
          <w:szCs w:val="22"/>
          <w:lang w:val="en-GB"/>
        </w:rPr>
      </w:pPr>
      <w:bookmarkStart w:id="13" w:name="_Toc496014024"/>
      <w:r w:rsidRPr="002E7169">
        <w:rPr>
          <w:rFonts w:cs="Arial"/>
          <w:sz w:val="22"/>
          <w:szCs w:val="22"/>
          <w:lang w:val="en-GB"/>
        </w:rPr>
        <w:lastRenderedPageBreak/>
        <w:t>Scope of reviewing authority of the Panel</w:t>
      </w:r>
      <w:bookmarkEnd w:id="13"/>
      <w:r w:rsidRPr="002E7169">
        <w:rPr>
          <w:rFonts w:cs="Arial"/>
          <w:sz w:val="22"/>
          <w:szCs w:val="22"/>
          <w:lang w:val="en-GB"/>
        </w:rPr>
        <w:t xml:space="preserve"> </w:t>
      </w:r>
    </w:p>
    <w:p w14:paraId="5FF4ED3B" w14:textId="4DDB17C9" w:rsidR="00FF1625" w:rsidRPr="00BE5F6F" w:rsidRDefault="00704E92" w:rsidP="00BE5F6F">
      <w:pPr>
        <w:pStyle w:val="Heading2"/>
        <w:spacing w:line="360" w:lineRule="auto"/>
        <w:ind w:left="1440" w:hanging="22"/>
        <w:rPr>
          <w:rFonts w:cs="Arial"/>
          <w:color w:val="4F81BD" w:themeColor="accent1"/>
          <w:sz w:val="22"/>
          <w:szCs w:val="22"/>
          <w:lang w:val="en-GB"/>
        </w:rPr>
      </w:pPr>
      <w:bookmarkStart w:id="14" w:name="_Toc496014025"/>
      <w:r w:rsidRPr="00BE5F6F">
        <w:rPr>
          <w:rFonts w:cs="Arial"/>
          <w:color w:val="4F81BD" w:themeColor="accent1"/>
          <w:sz w:val="22"/>
          <w:szCs w:val="22"/>
          <w:lang w:val="en-GB"/>
        </w:rPr>
        <w:t>3.1</w:t>
      </w:r>
      <w:r w:rsidRPr="00BE5F6F">
        <w:rPr>
          <w:rFonts w:cs="Arial"/>
          <w:color w:val="4F81BD" w:themeColor="accent1"/>
          <w:sz w:val="22"/>
          <w:szCs w:val="22"/>
          <w:lang w:val="en-GB"/>
        </w:rPr>
        <w:tab/>
      </w:r>
      <w:r w:rsidR="00FF1625" w:rsidRPr="00BE5F6F">
        <w:rPr>
          <w:rFonts w:cs="Arial"/>
          <w:color w:val="4F81BD" w:themeColor="accent1"/>
          <w:sz w:val="22"/>
          <w:szCs w:val="22"/>
          <w:lang w:val="en-GB"/>
        </w:rPr>
        <w:t xml:space="preserve">Complaint by a victim and absence of </w:t>
      </w:r>
      <w:r w:rsidR="00FF1625" w:rsidRPr="00BE5F6F">
        <w:rPr>
          <w:rFonts w:cs="Arial"/>
          <w:i/>
          <w:color w:val="4F81BD" w:themeColor="accent1"/>
          <w:sz w:val="22"/>
          <w:szCs w:val="22"/>
          <w:lang w:val="en-GB"/>
        </w:rPr>
        <w:t>proprio motu</w:t>
      </w:r>
      <w:r w:rsidR="00FF1625" w:rsidRPr="00BE5F6F">
        <w:rPr>
          <w:rFonts w:cs="Arial"/>
          <w:color w:val="4F81BD" w:themeColor="accent1"/>
          <w:sz w:val="22"/>
          <w:szCs w:val="22"/>
          <w:lang w:val="en-GB"/>
        </w:rPr>
        <w:t xml:space="preserve"> competence</w:t>
      </w:r>
      <w:bookmarkEnd w:id="14"/>
      <w:r w:rsidR="00FF1625" w:rsidRPr="00BE5F6F">
        <w:rPr>
          <w:rFonts w:cs="Arial"/>
          <w:color w:val="4F81BD" w:themeColor="accent1"/>
          <w:sz w:val="22"/>
          <w:szCs w:val="22"/>
          <w:lang w:val="en-GB"/>
        </w:rPr>
        <w:t xml:space="preserve"> </w:t>
      </w:r>
    </w:p>
    <w:p w14:paraId="1E6587C4" w14:textId="3F63E9FB" w:rsidR="00F65556" w:rsidRPr="00F65556" w:rsidRDefault="00BE5F6F" w:rsidP="002E7169">
      <w:pPr>
        <w:spacing w:line="360" w:lineRule="auto"/>
        <w:jc w:val="both"/>
        <w:rPr>
          <w:rFonts w:ascii="Arial" w:hAnsi="Arial" w:cs="Arial"/>
          <w:b/>
          <w:sz w:val="22"/>
          <w:szCs w:val="22"/>
          <w:lang w:val="en-GB"/>
        </w:rPr>
      </w:pPr>
      <w:r>
        <w:rPr>
          <w:rFonts w:ascii="Arial" w:hAnsi="Arial" w:cs="Arial"/>
          <w:b/>
          <w:sz w:val="22"/>
          <w:szCs w:val="22"/>
          <w:lang w:val="en-GB"/>
        </w:rPr>
        <w:t xml:space="preserve">3.1.1 </w:t>
      </w:r>
      <w:r w:rsidR="00F65556" w:rsidRPr="00F65556">
        <w:rPr>
          <w:rFonts w:ascii="Arial" w:hAnsi="Arial" w:cs="Arial"/>
          <w:b/>
          <w:sz w:val="22"/>
          <w:szCs w:val="22"/>
          <w:lang w:val="en-GB"/>
        </w:rPr>
        <w:t xml:space="preserve">Complaint as triggering competence of the Panel </w:t>
      </w:r>
    </w:p>
    <w:p w14:paraId="732CEA85" w14:textId="3816379B" w:rsidR="00B540A6" w:rsidRPr="002E7169" w:rsidRDefault="00B540A6" w:rsidP="002E7169">
      <w:pPr>
        <w:spacing w:line="360" w:lineRule="auto"/>
        <w:jc w:val="both"/>
        <w:rPr>
          <w:rFonts w:ascii="Arial" w:hAnsi="Arial" w:cs="Arial"/>
          <w:sz w:val="22"/>
          <w:szCs w:val="22"/>
          <w:lang w:val="en-GB"/>
        </w:rPr>
      </w:pPr>
      <w:r w:rsidRPr="002E7169">
        <w:rPr>
          <w:rFonts w:ascii="Arial" w:hAnsi="Arial" w:cs="Arial"/>
          <w:sz w:val="22"/>
          <w:szCs w:val="22"/>
          <w:lang w:val="en-GB"/>
        </w:rPr>
        <w:t xml:space="preserve">The competence of the Panel is triggered by a complaint of a person who alleges to have been a victim of a violation of rights attributable to EULEX. </w:t>
      </w:r>
      <w:r w:rsidR="00B106E8" w:rsidRPr="002E7169">
        <w:rPr>
          <w:rFonts w:ascii="Arial" w:hAnsi="Arial" w:cs="Arial"/>
          <w:sz w:val="22"/>
          <w:szCs w:val="22"/>
          <w:lang w:val="en-GB"/>
        </w:rPr>
        <w:t xml:space="preserve">The filing of a complaint is a necessary condition for the Panel to be properly seized. The Panel does not have </w:t>
      </w:r>
      <w:r w:rsidR="00B106E8" w:rsidRPr="002E7169">
        <w:rPr>
          <w:rFonts w:ascii="Arial" w:hAnsi="Arial" w:cs="Arial"/>
          <w:i/>
          <w:sz w:val="22"/>
          <w:szCs w:val="22"/>
          <w:lang w:val="en-GB"/>
        </w:rPr>
        <w:t>proprio motu</w:t>
      </w:r>
      <w:r w:rsidR="00B106E8" w:rsidRPr="002E7169">
        <w:rPr>
          <w:rFonts w:ascii="Arial" w:hAnsi="Arial" w:cs="Arial"/>
          <w:sz w:val="22"/>
          <w:szCs w:val="22"/>
          <w:lang w:val="en-GB"/>
        </w:rPr>
        <w:t xml:space="preserve"> authority to commence investigation of a case without a complaint having been filed. </w:t>
      </w:r>
    </w:p>
    <w:p w14:paraId="224CA795" w14:textId="77777777" w:rsidR="00B106E8" w:rsidRDefault="00B106E8" w:rsidP="002E7169">
      <w:pPr>
        <w:spacing w:line="360" w:lineRule="auto"/>
        <w:jc w:val="both"/>
        <w:rPr>
          <w:rFonts w:ascii="Arial" w:hAnsi="Arial" w:cs="Arial"/>
          <w:sz w:val="22"/>
          <w:szCs w:val="22"/>
          <w:lang w:val="en-GB"/>
        </w:rPr>
      </w:pPr>
    </w:p>
    <w:p w14:paraId="47600123" w14:textId="7714271C" w:rsidR="00F65556" w:rsidRPr="00F65556" w:rsidRDefault="00BE5F6F" w:rsidP="002E7169">
      <w:pPr>
        <w:spacing w:line="360" w:lineRule="auto"/>
        <w:jc w:val="both"/>
        <w:rPr>
          <w:rFonts w:ascii="Arial" w:hAnsi="Arial" w:cs="Arial"/>
          <w:b/>
          <w:sz w:val="22"/>
          <w:szCs w:val="22"/>
          <w:lang w:val="en-GB"/>
        </w:rPr>
      </w:pPr>
      <w:r>
        <w:rPr>
          <w:rFonts w:ascii="Arial" w:hAnsi="Arial" w:cs="Arial"/>
          <w:b/>
          <w:sz w:val="22"/>
          <w:szCs w:val="22"/>
          <w:lang w:val="en-GB"/>
        </w:rPr>
        <w:t xml:space="preserve">3.1.2 </w:t>
      </w:r>
      <w:r w:rsidR="00F65556" w:rsidRPr="00F65556">
        <w:rPr>
          <w:rFonts w:ascii="Arial" w:hAnsi="Arial" w:cs="Arial"/>
          <w:b/>
          <w:sz w:val="22"/>
          <w:szCs w:val="22"/>
          <w:lang w:val="en-GB"/>
        </w:rPr>
        <w:t>Complainant as alleged victim of right’s violation</w:t>
      </w:r>
    </w:p>
    <w:p w14:paraId="70967F33" w14:textId="77777777" w:rsidR="00F65556" w:rsidRDefault="00C035E6" w:rsidP="00F65556">
      <w:pPr>
        <w:spacing w:line="360" w:lineRule="auto"/>
        <w:jc w:val="both"/>
        <w:rPr>
          <w:rFonts w:ascii="Arial" w:hAnsi="Arial" w:cs="Arial"/>
          <w:sz w:val="22"/>
          <w:szCs w:val="22"/>
        </w:rPr>
      </w:pPr>
      <w:r w:rsidRPr="00F65556">
        <w:rPr>
          <w:rFonts w:ascii="Arial" w:hAnsi="Arial" w:cs="Arial"/>
          <w:sz w:val="22"/>
          <w:szCs w:val="22"/>
          <w:lang w:val="en-GB"/>
        </w:rPr>
        <w:t>A complaint may be filed by a victim him- or herself or by counsel representing the victim.</w:t>
      </w:r>
      <w:r w:rsidR="00F65556" w:rsidRPr="00F65556">
        <w:rPr>
          <w:rStyle w:val="FootnoteReference"/>
          <w:rFonts w:ascii="Arial" w:hAnsi="Arial" w:cs="Arial"/>
          <w:sz w:val="22"/>
          <w:szCs w:val="22"/>
          <w:lang w:val="en-GB"/>
        </w:rPr>
        <w:footnoteReference w:id="64"/>
      </w:r>
      <w:r w:rsidRPr="00F65556">
        <w:rPr>
          <w:rFonts w:ascii="Arial" w:hAnsi="Arial" w:cs="Arial"/>
          <w:sz w:val="22"/>
          <w:szCs w:val="22"/>
          <w:lang w:val="en-GB"/>
        </w:rPr>
        <w:t xml:space="preserve"> The Panel will verify and ensure, in each case, that the complainant qualifies as a “victim” of the alleged right violation. </w:t>
      </w:r>
      <w:r w:rsidR="00725BA6" w:rsidRPr="00F65556">
        <w:rPr>
          <w:rFonts w:ascii="Arial" w:hAnsi="Arial" w:cs="Arial"/>
          <w:sz w:val="22"/>
          <w:szCs w:val="22"/>
          <w:lang w:val="en-GB"/>
        </w:rPr>
        <w:t>The notion of “victim” has been defined by the Panel very much in the same way as this concept is understood before the European Court of Human Rights.</w:t>
      </w:r>
      <w:r w:rsidR="00F65556" w:rsidRPr="00F65556">
        <w:rPr>
          <w:rStyle w:val="FootnoteReference"/>
          <w:rFonts w:ascii="Arial" w:hAnsi="Arial" w:cs="Arial"/>
          <w:sz w:val="22"/>
          <w:szCs w:val="22"/>
          <w:lang w:val="en-GB"/>
        </w:rPr>
        <w:footnoteReference w:id="65"/>
      </w:r>
      <w:r w:rsidR="00725BA6" w:rsidRPr="00F65556">
        <w:rPr>
          <w:rFonts w:ascii="Arial" w:hAnsi="Arial" w:cs="Arial"/>
          <w:sz w:val="22"/>
          <w:szCs w:val="22"/>
          <w:lang w:val="en-GB"/>
        </w:rPr>
        <w:t xml:space="preserve"> </w:t>
      </w:r>
      <w:r w:rsidR="00F65556" w:rsidRPr="00F65556">
        <w:rPr>
          <w:rFonts w:ascii="Arial" w:hAnsi="Arial" w:cs="Arial"/>
          <w:sz w:val="22"/>
          <w:szCs w:val="22"/>
        </w:rPr>
        <w:t>The Panel has thus held that, in accordance with well-established case-law of the European Court of Human Rights, close relatives of a person whose death is alleged to engage the responsibility of the authorities can themselves claim to be indirect victims of the alleged violation of Article 2 of the Convention.</w:t>
      </w:r>
      <w:r w:rsidR="00F65556" w:rsidRPr="00F65556">
        <w:rPr>
          <w:rStyle w:val="FootnoteReference"/>
          <w:rFonts w:ascii="Arial" w:hAnsi="Arial" w:cs="Arial"/>
          <w:sz w:val="22"/>
          <w:szCs w:val="22"/>
        </w:rPr>
        <w:footnoteReference w:id="66"/>
      </w:r>
      <w:r w:rsidR="00F65556" w:rsidRPr="00F65556">
        <w:rPr>
          <w:rFonts w:ascii="Arial" w:hAnsi="Arial" w:cs="Arial"/>
          <w:sz w:val="22"/>
          <w:szCs w:val="22"/>
        </w:rPr>
        <w:t xml:space="preserve"> </w:t>
      </w:r>
    </w:p>
    <w:p w14:paraId="203B32A6" w14:textId="77777777" w:rsidR="00F943C0" w:rsidRDefault="00F943C0" w:rsidP="00F65556">
      <w:pPr>
        <w:spacing w:line="360" w:lineRule="auto"/>
        <w:jc w:val="both"/>
        <w:rPr>
          <w:rFonts w:ascii="Arial" w:hAnsi="Arial" w:cs="Arial"/>
          <w:sz w:val="22"/>
          <w:szCs w:val="22"/>
        </w:rPr>
      </w:pPr>
    </w:p>
    <w:p w14:paraId="5F4BEDB1" w14:textId="7C657580" w:rsidR="00F943C0" w:rsidRDefault="00F943C0" w:rsidP="00F943C0">
      <w:pPr>
        <w:suppressAutoHyphens/>
        <w:autoSpaceDE w:val="0"/>
        <w:spacing w:line="360" w:lineRule="auto"/>
        <w:jc w:val="both"/>
        <w:rPr>
          <w:rFonts w:ascii="Arial" w:hAnsi="Arial" w:cs="Arial"/>
          <w:sz w:val="22"/>
          <w:szCs w:val="22"/>
        </w:rPr>
      </w:pPr>
      <w:r w:rsidRPr="00A556A3">
        <w:rPr>
          <w:rFonts w:ascii="Arial" w:hAnsi="Arial" w:cs="Arial"/>
          <w:sz w:val="22"/>
          <w:szCs w:val="22"/>
        </w:rPr>
        <w:t xml:space="preserve">Whether a </w:t>
      </w:r>
      <w:r>
        <w:rPr>
          <w:rFonts w:ascii="Arial" w:hAnsi="Arial" w:cs="Arial"/>
          <w:sz w:val="22"/>
          <w:szCs w:val="22"/>
        </w:rPr>
        <w:t>person</w:t>
      </w:r>
      <w:r w:rsidRPr="00A556A3">
        <w:rPr>
          <w:rFonts w:ascii="Arial" w:hAnsi="Arial" w:cs="Arial"/>
          <w:sz w:val="22"/>
          <w:szCs w:val="22"/>
        </w:rPr>
        <w:t xml:space="preserve"> is such a victim will depend on the existence of special factors which give the suffering of the applicant a dimension and character distinct from the emotional distress which may be regarded as inevitably caused to relatives of a victim of a serious hum</w:t>
      </w:r>
      <w:r>
        <w:rPr>
          <w:rFonts w:ascii="Arial" w:hAnsi="Arial" w:cs="Arial"/>
          <w:sz w:val="22"/>
          <w:szCs w:val="22"/>
        </w:rPr>
        <w:t>an rights violation</w:t>
      </w:r>
      <w:r w:rsidRPr="00A556A3">
        <w:rPr>
          <w:rFonts w:ascii="Arial" w:hAnsi="Arial" w:cs="Arial"/>
          <w:sz w:val="22"/>
          <w:szCs w:val="22"/>
        </w:rPr>
        <w:t>. Relevant elements will include</w:t>
      </w:r>
      <w:r>
        <w:rPr>
          <w:rFonts w:ascii="Arial" w:hAnsi="Arial" w:cs="Arial"/>
          <w:sz w:val="22"/>
          <w:szCs w:val="22"/>
        </w:rPr>
        <w:t>, among others,</w:t>
      </w:r>
      <w:r w:rsidRPr="00A556A3">
        <w:rPr>
          <w:rFonts w:ascii="Arial" w:hAnsi="Arial" w:cs="Arial"/>
          <w:sz w:val="22"/>
          <w:szCs w:val="22"/>
        </w:rPr>
        <w:t xml:space="preserve"> the </w:t>
      </w:r>
      <w:r w:rsidRPr="00C20C82">
        <w:rPr>
          <w:rFonts w:ascii="Arial" w:hAnsi="Arial" w:cs="Arial"/>
          <w:sz w:val="22"/>
          <w:szCs w:val="22"/>
        </w:rPr>
        <w:t>existence</w:t>
      </w:r>
      <w:r>
        <w:rPr>
          <w:rFonts w:ascii="Arial" w:hAnsi="Arial" w:cs="Arial"/>
          <w:sz w:val="22"/>
          <w:szCs w:val="22"/>
        </w:rPr>
        <w:t xml:space="preserve"> and proximity of the family tie, </w:t>
      </w:r>
      <w:r w:rsidRPr="00A556A3">
        <w:rPr>
          <w:rFonts w:ascii="Arial" w:hAnsi="Arial" w:cs="Arial"/>
          <w:sz w:val="22"/>
          <w:szCs w:val="22"/>
        </w:rPr>
        <w:t xml:space="preserve">the particular circumstances of the relationship, the extent to which the </w:t>
      </w:r>
      <w:r>
        <w:rPr>
          <w:rFonts w:ascii="Arial" w:hAnsi="Arial" w:cs="Arial"/>
          <w:sz w:val="22"/>
          <w:szCs w:val="22"/>
        </w:rPr>
        <w:t>person</w:t>
      </w:r>
      <w:r w:rsidRPr="00A556A3">
        <w:rPr>
          <w:rFonts w:ascii="Arial" w:hAnsi="Arial" w:cs="Arial"/>
          <w:sz w:val="22"/>
          <w:szCs w:val="22"/>
        </w:rPr>
        <w:t xml:space="preserve"> w</w:t>
      </w:r>
      <w:r>
        <w:rPr>
          <w:rFonts w:ascii="Arial" w:hAnsi="Arial" w:cs="Arial"/>
          <w:sz w:val="22"/>
          <w:szCs w:val="22"/>
        </w:rPr>
        <w:t>itnessed the events in question</w:t>
      </w:r>
      <w:r w:rsidRPr="008362D0">
        <w:rPr>
          <w:rFonts w:ascii="Arial" w:hAnsi="Arial" w:cs="Arial"/>
          <w:sz w:val="22"/>
          <w:szCs w:val="22"/>
        </w:rPr>
        <w:t>.</w:t>
      </w:r>
      <w:r>
        <w:rPr>
          <w:rStyle w:val="FootnoteReference"/>
          <w:rFonts w:ascii="Arial" w:hAnsi="Arial" w:cs="Arial"/>
          <w:sz w:val="22"/>
          <w:szCs w:val="22"/>
        </w:rPr>
        <w:footnoteReference w:id="67"/>
      </w:r>
      <w:r>
        <w:rPr>
          <w:rFonts w:ascii="Arial" w:hAnsi="Arial" w:cs="Arial"/>
          <w:sz w:val="22"/>
          <w:szCs w:val="22"/>
        </w:rPr>
        <w:t xml:space="preserve"> </w:t>
      </w:r>
    </w:p>
    <w:p w14:paraId="1A12D396" w14:textId="77777777" w:rsidR="00F943C0" w:rsidRDefault="00F943C0" w:rsidP="00F65556">
      <w:pPr>
        <w:spacing w:line="360" w:lineRule="auto"/>
        <w:jc w:val="both"/>
        <w:rPr>
          <w:rFonts w:ascii="Arial" w:hAnsi="Arial" w:cs="Arial"/>
          <w:sz w:val="22"/>
          <w:szCs w:val="22"/>
        </w:rPr>
      </w:pPr>
    </w:p>
    <w:p w14:paraId="45BEF92A" w14:textId="77777777" w:rsidR="00F65556" w:rsidRDefault="00F65556" w:rsidP="00F65556">
      <w:pPr>
        <w:spacing w:line="360" w:lineRule="auto"/>
        <w:jc w:val="both"/>
        <w:rPr>
          <w:rFonts w:ascii="Arial" w:hAnsi="Arial" w:cs="Arial"/>
          <w:sz w:val="22"/>
          <w:szCs w:val="22"/>
        </w:rPr>
      </w:pPr>
    </w:p>
    <w:p w14:paraId="66661EF4" w14:textId="589ACD33" w:rsidR="00F65556" w:rsidRPr="00F65556" w:rsidRDefault="00F65556" w:rsidP="00F65556">
      <w:pPr>
        <w:spacing w:line="360" w:lineRule="auto"/>
        <w:jc w:val="both"/>
        <w:rPr>
          <w:rFonts w:ascii="Arial" w:eastAsiaTheme="minorEastAsia" w:hAnsi="Arial" w:cs="Arial"/>
          <w:sz w:val="22"/>
          <w:szCs w:val="22"/>
          <w:lang w:val="en-GB"/>
        </w:rPr>
      </w:pPr>
      <w:r>
        <w:rPr>
          <w:rFonts w:ascii="Arial" w:hAnsi="Arial" w:cs="Arial"/>
          <w:sz w:val="22"/>
          <w:szCs w:val="22"/>
        </w:rPr>
        <w:t>A</w:t>
      </w:r>
      <w:r w:rsidRPr="00F65556">
        <w:rPr>
          <w:rFonts w:ascii="Arial" w:hAnsi="Arial" w:cs="Arial"/>
          <w:sz w:val="22"/>
          <w:szCs w:val="22"/>
        </w:rPr>
        <w:t xml:space="preserve"> complainant </w:t>
      </w:r>
      <w:r>
        <w:rPr>
          <w:rFonts w:ascii="Arial" w:hAnsi="Arial" w:cs="Arial"/>
          <w:sz w:val="22"/>
          <w:szCs w:val="22"/>
        </w:rPr>
        <w:t xml:space="preserve">could </w:t>
      </w:r>
      <w:r w:rsidRPr="00F65556">
        <w:rPr>
          <w:rFonts w:ascii="Arial" w:hAnsi="Arial" w:cs="Arial"/>
          <w:sz w:val="22"/>
          <w:szCs w:val="22"/>
        </w:rPr>
        <w:t xml:space="preserve">therefore </w:t>
      </w:r>
      <w:r>
        <w:rPr>
          <w:rFonts w:ascii="Arial" w:hAnsi="Arial" w:cs="Arial"/>
          <w:sz w:val="22"/>
          <w:szCs w:val="22"/>
        </w:rPr>
        <w:t>have</w:t>
      </w:r>
      <w:r w:rsidRPr="00F65556">
        <w:rPr>
          <w:rFonts w:ascii="Arial" w:hAnsi="Arial" w:cs="Arial"/>
          <w:sz w:val="22"/>
          <w:szCs w:val="22"/>
        </w:rPr>
        <w:t xml:space="preserve"> standing of an </w:t>
      </w:r>
      <w:r>
        <w:rPr>
          <w:rFonts w:ascii="Arial" w:hAnsi="Arial" w:cs="Arial"/>
          <w:sz w:val="22"/>
          <w:szCs w:val="22"/>
        </w:rPr>
        <w:t>“</w:t>
      </w:r>
      <w:r w:rsidRPr="00F65556">
        <w:rPr>
          <w:rFonts w:ascii="Arial" w:hAnsi="Arial" w:cs="Arial"/>
          <w:sz w:val="22"/>
          <w:szCs w:val="22"/>
        </w:rPr>
        <w:t>indirect victim</w:t>
      </w:r>
      <w:r>
        <w:rPr>
          <w:rFonts w:ascii="Arial" w:hAnsi="Arial" w:cs="Arial"/>
          <w:sz w:val="22"/>
          <w:szCs w:val="22"/>
        </w:rPr>
        <w:t>”</w:t>
      </w:r>
      <w:r w:rsidRPr="00F65556">
        <w:rPr>
          <w:rFonts w:ascii="Arial" w:hAnsi="Arial" w:cs="Arial"/>
          <w:sz w:val="22"/>
          <w:szCs w:val="22"/>
        </w:rPr>
        <w:t xml:space="preserve"> </w:t>
      </w:r>
      <w:r>
        <w:rPr>
          <w:rFonts w:ascii="Arial" w:hAnsi="Arial" w:cs="Arial"/>
          <w:sz w:val="22"/>
          <w:szCs w:val="22"/>
        </w:rPr>
        <w:t>or</w:t>
      </w:r>
      <w:r w:rsidRPr="00F65556">
        <w:rPr>
          <w:rFonts w:ascii="Arial" w:hAnsi="Arial" w:cs="Arial"/>
          <w:sz w:val="22"/>
          <w:szCs w:val="22"/>
        </w:rPr>
        <w:t xml:space="preserve"> in respect of the alleged violations of </w:t>
      </w:r>
      <w:r>
        <w:rPr>
          <w:rFonts w:ascii="Arial" w:hAnsi="Arial" w:cs="Arial"/>
          <w:sz w:val="22"/>
          <w:szCs w:val="22"/>
        </w:rPr>
        <w:t>the complainant’s</w:t>
      </w:r>
      <w:r w:rsidRPr="00F65556">
        <w:rPr>
          <w:rFonts w:ascii="Arial" w:hAnsi="Arial" w:cs="Arial"/>
          <w:sz w:val="22"/>
          <w:szCs w:val="22"/>
        </w:rPr>
        <w:t xml:space="preserve"> own rights.</w:t>
      </w:r>
      <w:r>
        <w:rPr>
          <w:rStyle w:val="FootnoteReference"/>
          <w:rFonts w:ascii="Arial" w:hAnsi="Arial" w:cs="Arial"/>
          <w:sz w:val="22"/>
          <w:szCs w:val="22"/>
        </w:rPr>
        <w:footnoteReference w:id="68"/>
      </w:r>
    </w:p>
    <w:p w14:paraId="1D2DD7CB" w14:textId="77777777" w:rsidR="00B540A6" w:rsidRDefault="00B540A6" w:rsidP="002E7169">
      <w:pPr>
        <w:spacing w:line="360" w:lineRule="auto"/>
        <w:jc w:val="both"/>
        <w:rPr>
          <w:rFonts w:ascii="Arial" w:hAnsi="Arial" w:cs="Arial"/>
          <w:sz w:val="22"/>
          <w:szCs w:val="22"/>
          <w:lang w:val="en-GB"/>
        </w:rPr>
      </w:pPr>
    </w:p>
    <w:p w14:paraId="4A699FB7" w14:textId="5B2D50B6" w:rsidR="00F65556" w:rsidRPr="00F65556" w:rsidRDefault="00BE5F6F" w:rsidP="002E7169">
      <w:pPr>
        <w:spacing w:line="360" w:lineRule="auto"/>
        <w:jc w:val="both"/>
        <w:rPr>
          <w:rFonts w:ascii="Arial" w:hAnsi="Arial" w:cs="Arial"/>
          <w:b/>
          <w:sz w:val="22"/>
          <w:szCs w:val="22"/>
          <w:lang w:val="en-GB"/>
        </w:rPr>
      </w:pPr>
      <w:r>
        <w:rPr>
          <w:rFonts w:ascii="Arial" w:hAnsi="Arial" w:cs="Arial"/>
          <w:b/>
          <w:sz w:val="22"/>
          <w:szCs w:val="22"/>
          <w:lang w:val="en-GB"/>
        </w:rPr>
        <w:t xml:space="preserve">3.1.3 </w:t>
      </w:r>
      <w:r w:rsidR="00F65556" w:rsidRPr="00F65556">
        <w:rPr>
          <w:rFonts w:ascii="Arial" w:hAnsi="Arial" w:cs="Arial"/>
          <w:b/>
          <w:sz w:val="22"/>
          <w:szCs w:val="22"/>
          <w:lang w:val="en-GB"/>
        </w:rPr>
        <w:t xml:space="preserve">No </w:t>
      </w:r>
      <w:r w:rsidR="00F65556" w:rsidRPr="00F65556">
        <w:rPr>
          <w:rFonts w:ascii="Arial" w:hAnsi="Arial" w:cs="Arial"/>
          <w:b/>
          <w:i/>
          <w:sz w:val="22"/>
          <w:szCs w:val="22"/>
          <w:lang w:val="en-GB"/>
        </w:rPr>
        <w:t>actio popularis</w:t>
      </w:r>
      <w:r w:rsidR="00F65556" w:rsidRPr="00F65556">
        <w:rPr>
          <w:rFonts w:ascii="Arial" w:hAnsi="Arial" w:cs="Arial"/>
          <w:b/>
          <w:sz w:val="22"/>
          <w:szCs w:val="22"/>
          <w:lang w:val="en-GB"/>
        </w:rPr>
        <w:t xml:space="preserve"> before the Panel</w:t>
      </w:r>
    </w:p>
    <w:p w14:paraId="5D9ADFD6" w14:textId="0EC78F55" w:rsidR="00F65556" w:rsidRPr="00F86B48" w:rsidRDefault="00F65556" w:rsidP="00F65556">
      <w:pPr>
        <w:suppressAutoHyphens/>
        <w:autoSpaceDE w:val="0"/>
        <w:spacing w:line="360" w:lineRule="auto"/>
        <w:jc w:val="both"/>
        <w:rPr>
          <w:rFonts w:ascii="Arial" w:hAnsi="Arial" w:cs="Arial"/>
          <w:sz w:val="22"/>
          <w:szCs w:val="22"/>
          <w:lang w:val="en-GB"/>
        </w:rPr>
      </w:pPr>
      <w:r w:rsidRPr="00A556A3">
        <w:rPr>
          <w:rFonts w:ascii="Arial" w:hAnsi="Arial" w:cs="Arial"/>
          <w:sz w:val="22"/>
          <w:szCs w:val="22"/>
          <w:lang w:val="en-GB"/>
        </w:rPr>
        <w:t xml:space="preserve">The Panel </w:t>
      </w:r>
      <w:r w:rsidR="00F943C0">
        <w:rPr>
          <w:rFonts w:ascii="Arial" w:hAnsi="Arial" w:cs="Arial"/>
          <w:sz w:val="22"/>
          <w:szCs w:val="22"/>
          <w:lang w:val="en-GB"/>
        </w:rPr>
        <w:t xml:space="preserve">has made it clear that its </w:t>
      </w:r>
      <w:r>
        <w:rPr>
          <w:rFonts w:ascii="Arial" w:hAnsi="Arial" w:cs="Arial"/>
          <w:sz w:val="22"/>
          <w:szCs w:val="22"/>
        </w:rPr>
        <w:t>Rules of Procedure do</w:t>
      </w:r>
      <w:r w:rsidR="00F943C0">
        <w:rPr>
          <w:rFonts w:ascii="Arial" w:hAnsi="Arial" w:cs="Arial"/>
          <w:sz w:val="22"/>
          <w:szCs w:val="22"/>
        </w:rPr>
        <w:t xml:space="preserve"> not </w:t>
      </w:r>
      <w:r w:rsidRPr="00DC1AE0">
        <w:rPr>
          <w:rFonts w:ascii="Arial" w:hAnsi="Arial" w:cs="Arial"/>
          <w:sz w:val="22"/>
          <w:szCs w:val="22"/>
        </w:rPr>
        <w:t xml:space="preserve">envisage the bringing of an </w:t>
      </w:r>
      <w:r w:rsidRPr="00DC1AE0">
        <w:rPr>
          <w:rFonts w:ascii="Arial" w:hAnsi="Arial" w:cs="Arial"/>
          <w:i/>
          <w:sz w:val="22"/>
          <w:szCs w:val="22"/>
        </w:rPr>
        <w:t>actio popularis</w:t>
      </w:r>
      <w:r>
        <w:rPr>
          <w:rFonts w:ascii="Arial" w:hAnsi="Arial" w:cs="Arial"/>
          <w:i/>
          <w:sz w:val="22"/>
          <w:szCs w:val="22"/>
        </w:rPr>
        <w:t>;</w:t>
      </w:r>
      <w:r w:rsidRPr="00F86B48">
        <w:t xml:space="preserve"> </w:t>
      </w:r>
      <w:r w:rsidRPr="00F86B48">
        <w:rPr>
          <w:rFonts w:ascii="Arial" w:hAnsi="Arial" w:cs="Arial"/>
          <w:sz w:val="22"/>
          <w:szCs w:val="22"/>
        </w:rPr>
        <w:t xml:space="preserve">they do not permit individuals to complain against </w:t>
      </w:r>
      <w:r>
        <w:rPr>
          <w:rFonts w:ascii="Arial" w:hAnsi="Arial" w:cs="Arial"/>
          <w:sz w:val="22"/>
          <w:szCs w:val="22"/>
        </w:rPr>
        <w:t>alleged actions and omissions on the part of EULEX</w:t>
      </w:r>
      <w:r w:rsidRPr="00F86B48">
        <w:rPr>
          <w:rFonts w:ascii="Arial" w:hAnsi="Arial" w:cs="Arial"/>
          <w:sz w:val="22"/>
          <w:szCs w:val="22"/>
        </w:rPr>
        <w:t xml:space="preserve"> </w:t>
      </w:r>
      <w:r w:rsidRPr="00F86B48">
        <w:rPr>
          <w:rFonts w:ascii="Arial" w:hAnsi="Arial" w:cs="Arial"/>
          <w:i/>
          <w:sz w:val="22"/>
          <w:szCs w:val="22"/>
        </w:rPr>
        <w:t>in abstracto</w:t>
      </w:r>
      <w:r w:rsidRPr="00F86B48">
        <w:rPr>
          <w:rFonts w:ascii="Arial" w:hAnsi="Arial" w:cs="Arial"/>
          <w:sz w:val="22"/>
          <w:szCs w:val="22"/>
        </w:rPr>
        <w:t xml:space="preserve"> simply because they feel that </w:t>
      </w:r>
      <w:r>
        <w:rPr>
          <w:rFonts w:ascii="Arial" w:hAnsi="Arial" w:cs="Arial"/>
          <w:sz w:val="22"/>
          <w:szCs w:val="22"/>
        </w:rPr>
        <w:t>they infringe human rights</w:t>
      </w:r>
      <w:r w:rsidRPr="00F86B48">
        <w:rPr>
          <w:rFonts w:ascii="Arial" w:hAnsi="Arial" w:cs="Arial"/>
          <w:sz w:val="22"/>
          <w:szCs w:val="22"/>
        </w:rPr>
        <w:t>.</w:t>
      </w:r>
      <w:r w:rsidR="00F943C0">
        <w:rPr>
          <w:rStyle w:val="FootnoteReference"/>
          <w:rFonts w:ascii="Arial" w:hAnsi="Arial" w:cs="Arial"/>
          <w:sz w:val="22"/>
          <w:szCs w:val="22"/>
        </w:rPr>
        <w:footnoteReference w:id="69"/>
      </w:r>
    </w:p>
    <w:p w14:paraId="3AB219F7" w14:textId="77777777" w:rsidR="00F65556" w:rsidRPr="002E7169" w:rsidRDefault="00F65556" w:rsidP="002E7169">
      <w:pPr>
        <w:spacing w:line="360" w:lineRule="auto"/>
        <w:jc w:val="both"/>
        <w:rPr>
          <w:rFonts w:ascii="Arial" w:hAnsi="Arial" w:cs="Arial"/>
          <w:sz w:val="22"/>
          <w:szCs w:val="22"/>
          <w:lang w:val="en-GB"/>
        </w:rPr>
      </w:pPr>
    </w:p>
    <w:p w14:paraId="0027EA45" w14:textId="207966C3" w:rsidR="00C035E6" w:rsidRPr="00BE5F6F" w:rsidRDefault="00704E92" w:rsidP="00BE5F6F">
      <w:pPr>
        <w:pStyle w:val="Heading2"/>
        <w:spacing w:line="360" w:lineRule="auto"/>
        <w:ind w:left="1418"/>
        <w:rPr>
          <w:rFonts w:cs="Arial"/>
          <w:color w:val="4F81BD" w:themeColor="accent1"/>
          <w:sz w:val="22"/>
          <w:szCs w:val="22"/>
          <w:lang w:val="en-GB"/>
        </w:rPr>
      </w:pPr>
      <w:bookmarkStart w:id="16" w:name="_Toc496014026"/>
      <w:r w:rsidRPr="00BE5F6F">
        <w:rPr>
          <w:rFonts w:cs="Arial"/>
          <w:color w:val="4F81BD" w:themeColor="accent1"/>
          <w:sz w:val="22"/>
          <w:szCs w:val="22"/>
          <w:lang w:val="en-GB"/>
        </w:rPr>
        <w:t>3.2</w:t>
      </w:r>
      <w:r w:rsidRPr="00BE5F6F">
        <w:rPr>
          <w:rFonts w:cs="Arial"/>
          <w:color w:val="4F81BD" w:themeColor="accent1"/>
          <w:sz w:val="22"/>
          <w:szCs w:val="22"/>
          <w:lang w:val="en-GB"/>
        </w:rPr>
        <w:tab/>
      </w:r>
      <w:r w:rsidR="00FF1625" w:rsidRPr="00BE5F6F">
        <w:rPr>
          <w:rFonts w:cs="Arial"/>
          <w:color w:val="4F81BD" w:themeColor="accent1"/>
          <w:sz w:val="22"/>
          <w:szCs w:val="22"/>
          <w:lang w:val="en-GB"/>
        </w:rPr>
        <w:t xml:space="preserve">No appellate function </w:t>
      </w:r>
      <w:r w:rsidR="00725BA6" w:rsidRPr="00BE5F6F">
        <w:rPr>
          <w:rFonts w:cs="Arial"/>
          <w:color w:val="4F81BD" w:themeColor="accent1"/>
          <w:sz w:val="22"/>
          <w:szCs w:val="22"/>
          <w:lang w:val="en-GB"/>
        </w:rPr>
        <w:t>of the Panel</w:t>
      </w:r>
      <w:bookmarkEnd w:id="16"/>
      <w:r w:rsidR="00725BA6" w:rsidRPr="00BE5F6F">
        <w:rPr>
          <w:rFonts w:cs="Arial"/>
          <w:color w:val="4F81BD" w:themeColor="accent1"/>
          <w:sz w:val="22"/>
          <w:szCs w:val="22"/>
          <w:lang w:val="en-GB"/>
        </w:rPr>
        <w:t xml:space="preserve"> </w:t>
      </w:r>
    </w:p>
    <w:p w14:paraId="77C7A06B" w14:textId="56C16700" w:rsidR="00C035E6" w:rsidRPr="002E7169" w:rsidRDefault="00C035E6" w:rsidP="002E7169">
      <w:pPr>
        <w:tabs>
          <w:tab w:val="left" w:pos="2688"/>
        </w:tabs>
        <w:spacing w:line="360" w:lineRule="auto"/>
        <w:jc w:val="both"/>
        <w:rPr>
          <w:rFonts w:ascii="Arial" w:hAnsi="Arial" w:cs="Arial"/>
          <w:sz w:val="22"/>
          <w:szCs w:val="22"/>
          <w:lang w:val="en-GB"/>
        </w:rPr>
      </w:pPr>
      <w:r w:rsidRPr="002E7169">
        <w:rPr>
          <w:rFonts w:ascii="Arial" w:hAnsi="Arial" w:cs="Arial"/>
          <w:sz w:val="22"/>
          <w:szCs w:val="22"/>
          <w:lang w:val="en-GB"/>
        </w:rPr>
        <w:t>The Panel is not conceived as an appellate from the decisions of other authorities.</w:t>
      </w:r>
      <w:r w:rsidRPr="002E7169">
        <w:rPr>
          <w:rStyle w:val="FootnoteReference"/>
          <w:rFonts w:ascii="Arial" w:hAnsi="Arial" w:cs="Arial"/>
          <w:sz w:val="22"/>
          <w:szCs w:val="22"/>
          <w:lang w:val="en-GB"/>
        </w:rPr>
        <w:footnoteReference w:id="70"/>
      </w:r>
      <w:r w:rsidRPr="002E7169">
        <w:rPr>
          <w:rFonts w:ascii="Arial" w:hAnsi="Arial" w:cs="Arial"/>
          <w:sz w:val="22"/>
          <w:szCs w:val="22"/>
          <w:lang w:val="en-GB"/>
        </w:rPr>
        <w:t xml:space="preserve"> Instead, it will consider afresh allegations of rights violations resulting from the implementation of the Mission’s executive mandate.  </w:t>
      </w:r>
    </w:p>
    <w:p w14:paraId="78A6F3F7" w14:textId="77777777" w:rsidR="00C035E6" w:rsidRPr="002E7169" w:rsidRDefault="00C035E6" w:rsidP="002E7169">
      <w:pPr>
        <w:tabs>
          <w:tab w:val="left" w:pos="2688"/>
        </w:tabs>
        <w:spacing w:line="360" w:lineRule="auto"/>
        <w:jc w:val="both"/>
        <w:rPr>
          <w:rFonts w:ascii="Arial" w:hAnsi="Arial" w:cs="Arial"/>
          <w:sz w:val="22"/>
          <w:szCs w:val="22"/>
          <w:lang w:val="en-GB"/>
        </w:rPr>
      </w:pPr>
    </w:p>
    <w:p w14:paraId="5076FF2B" w14:textId="40CE6564" w:rsidR="00C035E6" w:rsidRPr="00BE5F6F" w:rsidRDefault="00704E92" w:rsidP="00BE5F6F">
      <w:pPr>
        <w:pStyle w:val="Heading2"/>
        <w:spacing w:line="360" w:lineRule="auto"/>
        <w:ind w:left="1418"/>
        <w:rPr>
          <w:rFonts w:cs="Arial"/>
          <w:color w:val="4F81BD" w:themeColor="accent1"/>
          <w:sz w:val="22"/>
          <w:szCs w:val="22"/>
          <w:lang w:val="en-GB"/>
        </w:rPr>
      </w:pPr>
      <w:bookmarkStart w:id="17" w:name="_Toc496014027"/>
      <w:r w:rsidRPr="00BE5F6F">
        <w:rPr>
          <w:rFonts w:cs="Arial"/>
          <w:color w:val="4F81BD" w:themeColor="accent1"/>
          <w:sz w:val="22"/>
          <w:szCs w:val="22"/>
          <w:lang w:val="en-GB"/>
        </w:rPr>
        <w:t>3.3</w:t>
      </w:r>
      <w:r w:rsidRPr="00BE5F6F">
        <w:rPr>
          <w:rFonts w:cs="Arial"/>
          <w:color w:val="4F81BD" w:themeColor="accent1"/>
          <w:sz w:val="22"/>
          <w:szCs w:val="22"/>
          <w:lang w:val="en-GB"/>
        </w:rPr>
        <w:tab/>
      </w:r>
      <w:r w:rsidR="00C035E6" w:rsidRPr="00BE5F6F">
        <w:rPr>
          <w:rFonts w:cs="Arial"/>
          <w:color w:val="4F81BD" w:themeColor="accent1"/>
          <w:sz w:val="22"/>
          <w:szCs w:val="22"/>
          <w:lang w:val="en-GB"/>
        </w:rPr>
        <w:t>Recommendatory competence only</w:t>
      </w:r>
      <w:bookmarkEnd w:id="17"/>
    </w:p>
    <w:p w14:paraId="70757126" w14:textId="33F13832" w:rsidR="00C035E6" w:rsidRPr="002E7169" w:rsidRDefault="00A46E4E" w:rsidP="002E7169">
      <w:pPr>
        <w:spacing w:line="360" w:lineRule="auto"/>
        <w:jc w:val="both"/>
        <w:rPr>
          <w:rFonts w:ascii="Arial" w:hAnsi="Arial" w:cs="Arial"/>
          <w:sz w:val="22"/>
          <w:szCs w:val="22"/>
          <w:lang w:val="en-GB"/>
        </w:rPr>
      </w:pPr>
      <w:r>
        <w:rPr>
          <w:rFonts w:ascii="Arial" w:hAnsi="Arial" w:cs="Arial"/>
          <w:sz w:val="22"/>
          <w:szCs w:val="22"/>
          <w:lang w:val="en-GB"/>
        </w:rPr>
        <w:t>The Panel’s remedial powers are limited by reason of the OPLAN which sets limits to its authority to grant relief in a particular case. In particular, by reason of these statutory limitations, t</w:t>
      </w:r>
      <w:r w:rsidR="00C035E6" w:rsidRPr="002E7169">
        <w:rPr>
          <w:rFonts w:ascii="Arial" w:hAnsi="Arial" w:cs="Arial"/>
          <w:sz w:val="22"/>
          <w:szCs w:val="22"/>
          <w:lang w:val="en-GB"/>
        </w:rPr>
        <w:t>he Panel cannot render binding decisions. Instead, it was only given the power and authority to issue recommendations.</w:t>
      </w:r>
      <w:r w:rsidR="00AD1E96" w:rsidRPr="002E7169">
        <w:rPr>
          <w:rStyle w:val="FootnoteReference"/>
          <w:rFonts w:ascii="Arial" w:hAnsi="Arial" w:cs="Arial"/>
          <w:sz w:val="22"/>
          <w:szCs w:val="22"/>
          <w:lang w:val="en-GB"/>
        </w:rPr>
        <w:footnoteReference w:id="71"/>
      </w:r>
    </w:p>
    <w:p w14:paraId="13521EDF" w14:textId="77777777" w:rsidR="00C035E6" w:rsidRPr="002E7169" w:rsidRDefault="00C035E6" w:rsidP="002E7169">
      <w:pPr>
        <w:tabs>
          <w:tab w:val="left" w:pos="2688"/>
        </w:tabs>
        <w:spacing w:line="360" w:lineRule="auto"/>
        <w:jc w:val="both"/>
        <w:rPr>
          <w:rFonts w:ascii="Arial" w:hAnsi="Arial" w:cs="Arial"/>
          <w:sz w:val="22"/>
          <w:szCs w:val="22"/>
          <w:lang w:val="en-GB"/>
        </w:rPr>
      </w:pPr>
    </w:p>
    <w:p w14:paraId="08D99BC8" w14:textId="77777777" w:rsidR="00C035E6" w:rsidRPr="002E7169" w:rsidRDefault="00C035E6" w:rsidP="002E7169">
      <w:pPr>
        <w:tabs>
          <w:tab w:val="left" w:pos="2688"/>
        </w:tabs>
        <w:spacing w:line="360" w:lineRule="auto"/>
        <w:jc w:val="both"/>
        <w:rPr>
          <w:rFonts w:ascii="Arial" w:hAnsi="Arial" w:cs="Arial"/>
          <w:sz w:val="22"/>
          <w:szCs w:val="22"/>
          <w:lang w:val="en-GB"/>
        </w:rPr>
      </w:pPr>
    </w:p>
    <w:p w14:paraId="727E7D6C" w14:textId="799E9776" w:rsidR="00B540A6" w:rsidRPr="002E7169" w:rsidRDefault="00B540A6" w:rsidP="002E7169">
      <w:pPr>
        <w:spacing w:line="360" w:lineRule="auto"/>
        <w:jc w:val="both"/>
        <w:rPr>
          <w:rFonts w:ascii="Arial" w:hAnsi="Arial" w:cs="Arial"/>
          <w:sz w:val="22"/>
          <w:szCs w:val="22"/>
          <w:lang w:val="en-GB"/>
        </w:rPr>
      </w:pPr>
      <w:r w:rsidRPr="002E7169">
        <w:rPr>
          <w:rFonts w:ascii="Arial" w:hAnsi="Arial" w:cs="Arial"/>
          <w:sz w:val="22"/>
          <w:szCs w:val="22"/>
          <w:lang w:val="en-GB"/>
        </w:rPr>
        <w:br w:type="page"/>
      </w:r>
    </w:p>
    <w:p w14:paraId="54257431" w14:textId="77777777" w:rsidR="00B540A6" w:rsidRPr="002E7169" w:rsidRDefault="00B540A6" w:rsidP="002E7169">
      <w:pPr>
        <w:tabs>
          <w:tab w:val="left" w:pos="2688"/>
        </w:tabs>
        <w:spacing w:line="360" w:lineRule="auto"/>
        <w:rPr>
          <w:rFonts w:ascii="Arial" w:hAnsi="Arial" w:cs="Arial"/>
          <w:sz w:val="22"/>
          <w:szCs w:val="22"/>
          <w:lang w:val="en-GB"/>
        </w:rPr>
      </w:pPr>
    </w:p>
    <w:p w14:paraId="08567313" w14:textId="77777777" w:rsidR="00B3772F" w:rsidRPr="002E7169" w:rsidRDefault="00B3772F" w:rsidP="002E7169">
      <w:pPr>
        <w:spacing w:line="360" w:lineRule="auto"/>
        <w:rPr>
          <w:rFonts w:ascii="Arial" w:hAnsi="Arial" w:cs="Arial"/>
          <w:sz w:val="22"/>
          <w:szCs w:val="22"/>
          <w:lang w:val="en-GB"/>
        </w:rPr>
      </w:pPr>
    </w:p>
    <w:p w14:paraId="2E0F860B" w14:textId="7FEDF756" w:rsidR="00AD1E96" w:rsidRPr="00A46E4E" w:rsidRDefault="00B3772F" w:rsidP="002E7169">
      <w:pPr>
        <w:pStyle w:val="Heading1"/>
        <w:numPr>
          <w:ilvl w:val="0"/>
          <w:numId w:val="5"/>
        </w:numPr>
        <w:spacing w:line="360" w:lineRule="auto"/>
        <w:rPr>
          <w:rFonts w:cs="Arial"/>
          <w:sz w:val="22"/>
          <w:szCs w:val="22"/>
          <w:lang w:val="en-GB"/>
        </w:rPr>
      </w:pPr>
      <w:bookmarkStart w:id="18" w:name="_Toc496014028"/>
      <w:r w:rsidRPr="002E7169">
        <w:rPr>
          <w:rFonts w:cs="Arial"/>
          <w:sz w:val="22"/>
          <w:szCs w:val="22"/>
          <w:lang w:val="en-GB"/>
        </w:rPr>
        <w:t>Requirements of form and procedure</w:t>
      </w:r>
      <w:bookmarkEnd w:id="18"/>
      <w:r w:rsidRPr="002E7169">
        <w:rPr>
          <w:rFonts w:cs="Arial"/>
          <w:sz w:val="22"/>
          <w:szCs w:val="22"/>
          <w:lang w:val="en-GB"/>
        </w:rPr>
        <w:t xml:space="preserve"> </w:t>
      </w:r>
    </w:p>
    <w:p w14:paraId="05C3B44C" w14:textId="6C012A0E" w:rsidR="00364A37" w:rsidRPr="00BE5F6F" w:rsidRDefault="00704E92" w:rsidP="00BE5F6F">
      <w:pPr>
        <w:pStyle w:val="Heading2"/>
        <w:spacing w:line="360" w:lineRule="auto"/>
        <w:ind w:left="1418"/>
        <w:rPr>
          <w:rFonts w:cs="Arial"/>
          <w:color w:val="4F81BD" w:themeColor="accent1"/>
          <w:sz w:val="22"/>
          <w:szCs w:val="22"/>
          <w:lang w:val="en-GB"/>
        </w:rPr>
      </w:pPr>
      <w:bookmarkStart w:id="19" w:name="_Toc496014029"/>
      <w:r w:rsidRPr="00BE5F6F">
        <w:rPr>
          <w:rFonts w:cs="Arial"/>
          <w:color w:val="4F81BD" w:themeColor="accent1"/>
          <w:sz w:val="22"/>
          <w:szCs w:val="22"/>
          <w:lang w:val="en-GB"/>
        </w:rPr>
        <w:t>4.1</w:t>
      </w:r>
      <w:r w:rsidRPr="00BE5F6F">
        <w:rPr>
          <w:rFonts w:cs="Arial"/>
          <w:color w:val="4F81BD" w:themeColor="accent1"/>
          <w:sz w:val="22"/>
          <w:szCs w:val="22"/>
          <w:lang w:val="en-GB"/>
        </w:rPr>
        <w:tab/>
      </w:r>
      <w:r w:rsidRPr="00BE5F6F">
        <w:rPr>
          <w:rFonts w:cs="Arial"/>
          <w:color w:val="4F81BD" w:themeColor="accent1"/>
          <w:sz w:val="22"/>
          <w:szCs w:val="22"/>
          <w:lang w:val="en-GB"/>
        </w:rPr>
        <w:tab/>
      </w:r>
      <w:r w:rsidR="00FF1625" w:rsidRPr="00BE5F6F">
        <w:rPr>
          <w:rFonts w:cs="Arial"/>
          <w:color w:val="4F81BD" w:themeColor="accent1"/>
          <w:sz w:val="22"/>
          <w:szCs w:val="22"/>
          <w:lang w:val="en-GB"/>
        </w:rPr>
        <w:t>Requirements of form</w:t>
      </w:r>
      <w:bookmarkEnd w:id="19"/>
    </w:p>
    <w:p w14:paraId="5F8A48F1" w14:textId="03B75779" w:rsidR="00803201" w:rsidRDefault="00704E92" w:rsidP="002E7169">
      <w:pPr>
        <w:pStyle w:val="Heading3"/>
        <w:spacing w:line="360" w:lineRule="auto"/>
        <w:ind w:firstLine="720"/>
        <w:rPr>
          <w:rFonts w:ascii="Arial" w:hAnsi="Arial" w:cs="Arial"/>
          <w:color w:val="000000" w:themeColor="text1"/>
          <w:sz w:val="22"/>
          <w:szCs w:val="22"/>
          <w:lang w:val="en-GB"/>
        </w:rPr>
      </w:pPr>
      <w:bookmarkStart w:id="20" w:name="_Toc496014030"/>
      <w:r w:rsidRPr="00BE5F6F">
        <w:rPr>
          <w:rFonts w:ascii="Arial" w:hAnsi="Arial" w:cs="Arial"/>
          <w:color w:val="000000" w:themeColor="text1"/>
          <w:sz w:val="22"/>
          <w:szCs w:val="22"/>
          <w:lang w:val="en-GB"/>
        </w:rPr>
        <w:t>4.1.1</w:t>
      </w:r>
      <w:r w:rsidRPr="00BE5F6F">
        <w:rPr>
          <w:rFonts w:ascii="Arial" w:hAnsi="Arial" w:cs="Arial"/>
          <w:color w:val="000000" w:themeColor="text1"/>
          <w:sz w:val="22"/>
          <w:szCs w:val="22"/>
          <w:lang w:val="en-GB"/>
        </w:rPr>
        <w:tab/>
      </w:r>
      <w:r w:rsidR="00DB3D0F" w:rsidRPr="00BE5F6F">
        <w:rPr>
          <w:rFonts w:ascii="Arial" w:hAnsi="Arial" w:cs="Arial"/>
          <w:color w:val="000000" w:themeColor="text1"/>
          <w:sz w:val="22"/>
          <w:szCs w:val="22"/>
          <w:lang w:val="en-GB"/>
        </w:rPr>
        <w:t>Filing of a complaint by an alleged victim of rights violations</w:t>
      </w:r>
      <w:bookmarkEnd w:id="20"/>
    </w:p>
    <w:p w14:paraId="65B49161" w14:textId="77777777" w:rsidR="00BE5F6F" w:rsidRPr="00BE5F6F" w:rsidRDefault="00BE5F6F" w:rsidP="00BE5F6F">
      <w:pPr>
        <w:rPr>
          <w:lang w:val="en-GB"/>
        </w:rPr>
      </w:pPr>
    </w:p>
    <w:p w14:paraId="2CDA2375" w14:textId="55A238D4" w:rsidR="00A46E4E" w:rsidRPr="00A46E4E" w:rsidRDefault="00BE5F6F" w:rsidP="00BE5F6F">
      <w:pPr>
        <w:spacing w:line="360" w:lineRule="auto"/>
        <w:ind w:left="1134"/>
        <w:jc w:val="both"/>
        <w:rPr>
          <w:rFonts w:ascii="Arial" w:hAnsi="Arial" w:cs="Arial"/>
          <w:b/>
          <w:sz w:val="22"/>
          <w:szCs w:val="22"/>
          <w:lang w:val="en-GB"/>
        </w:rPr>
      </w:pPr>
      <w:r>
        <w:rPr>
          <w:rFonts w:ascii="Arial" w:hAnsi="Arial" w:cs="Arial"/>
          <w:b/>
          <w:sz w:val="22"/>
          <w:szCs w:val="22"/>
          <w:lang w:val="en-GB"/>
        </w:rPr>
        <w:t xml:space="preserve">4.1.1.1 </w:t>
      </w:r>
      <w:r w:rsidR="00A46E4E" w:rsidRPr="00A46E4E">
        <w:rPr>
          <w:rFonts w:ascii="Arial" w:hAnsi="Arial" w:cs="Arial"/>
          <w:b/>
          <w:sz w:val="22"/>
          <w:szCs w:val="22"/>
          <w:lang w:val="en-GB"/>
        </w:rPr>
        <w:t>Requirements of form and discretion of the Panel</w:t>
      </w:r>
    </w:p>
    <w:p w14:paraId="5835E20B" w14:textId="478F1034" w:rsidR="004E5AE7" w:rsidRPr="002E7169" w:rsidRDefault="00253E4A" w:rsidP="002E7169">
      <w:pPr>
        <w:spacing w:line="360" w:lineRule="auto"/>
        <w:jc w:val="both"/>
        <w:rPr>
          <w:rFonts w:ascii="Arial" w:hAnsi="Arial" w:cs="Arial"/>
          <w:sz w:val="22"/>
          <w:szCs w:val="22"/>
          <w:lang w:val="en-GB"/>
        </w:rPr>
      </w:pPr>
      <w:r w:rsidRPr="002E7169">
        <w:rPr>
          <w:rFonts w:ascii="Arial" w:hAnsi="Arial" w:cs="Arial"/>
          <w:sz w:val="22"/>
          <w:szCs w:val="22"/>
          <w:lang w:val="en-GB"/>
        </w:rPr>
        <w:t>The procedure before the Panel starts with the filing of a written complaint signed by the complainant (or his/her representative</w:t>
      </w:r>
      <w:r w:rsidR="00434705" w:rsidRPr="002E7169">
        <w:rPr>
          <w:rStyle w:val="FootnoteReference"/>
          <w:rFonts w:ascii="Arial" w:hAnsi="Arial" w:cs="Arial"/>
          <w:sz w:val="22"/>
          <w:szCs w:val="22"/>
          <w:lang w:val="en-GB"/>
        </w:rPr>
        <w:footnoteReference w:id="72"/>
      </w:r>
      <w:r w:rsidRPr="002E7169">
        <w:rPr>
          <w:rFonts w:ascii="Arial" w:hAnsi="Arial" w:cs="Arial"/>
          <w:sz w:val="22"/>
          <w:szCs w:val="22"/>
          <w:lang w:val="en-GB"/>
        </w:rPr>
        <w:t>). The Rules of Procedure of the Panel include certain requirements of form and content that must be satisfied.</w:t>
      </w:r>
      <w:r w:rsidRPr="002E7169">
        <w:rPr>
          <w:rStyle w:val="FootnoteReference"/>
          <w:rFonts w:ascii="Arial" w:hAnsi="Arial" w:cs="Arial"/>
          <w:sz w:val="22"/>
          <w:szCs w:val="22"/>
          <w:lang w:val="en-GB"/>
        </w:rPr>
        <w:footnoteReference w:id="73"/>
      </w:r>
      <w:r w:rsidRPr="002E7169">
        <w:rPr>
          <w:rFonts w:ascii="Arial" w:hAnsi="Arial" w:cs="Arial"/>
          <w:sz w:val="22"/>
          <w:szCs w:val="22"/>
          <w:lang w:val="en-GB"/>
        </w:rPr>
        <w:t xml:space="preserve"> A complaint will not be rejected in principle, however, merely because it fails to meet these procedural requirements. </w:t>
      </w:r>
      <w:r w:rsidR="00A46E4E">
        <w:rPr>
          <w:rFonts w:ascii="Arial" w:hAnsi="Arial" w:cs="Arial"/>
          <w:sz w:val="22"/>
          <w:szCs w:val="22"/>
          <w:lang w:val="en-GB"/>
        </w:rPr>
        <w:t>This is subject to the discretion of the Panel.</w:t>
      </w:r>
    </w:p>
    <w:p w14:paraId="40E8FC18" w14:textId="77777777" w:rsidR="004E5AE7" w:rsidRPr="002E7169" w:rsidRDefault="004E5AE7" w:rsidP="002E7169">
      <w:pPr>
        <w:spacing w:line="360" w:lineRule="auto"/>
        <w:jc w:val="both"/>
        <w:rPr>
          <w:rFonts w:ascii="Arial" w:hAnsi="Arial" w:cs="Arial"/>
          <w:sz w:val="22"/>
          <w:szCs w:val="22"/>
          <w:lang w:val="en-GB"/>
        </w:rPr>
      </w:pPr>
    </w:p>
    <w:p w14:paraId="63CFB163" w14:textId="4B6B1294" w:rsidR="00A46E4E" w:rsidRPr="00A46E4E" w:rsidRDefault="00BE5F6F" w:rsidP="00BE5F6F">
      <w:pPr>
        <w:spacing w:line="360" w:lineRule="auto"/>
        <w:ind w:left="1134"/>
        <w:jc w:val="both"/>
        <w:rPr>
          <w:rFonts w:ascii="Arial" w:hAnsi="Arial" w:cs="Arial"/>
          <w:b/>
          <w:sz w:val="22"/>
          <w:szCs w:val="22"/>
          <w:lang w:val="en-GB"/>
        </w:rPr>
      </w:pPr>
      <w:r>
        <w:rPr>
          <w:rFonts w:ascii="Arial" w:hAnsi="Arial" w:cs="Arial"/>
          <w:b/>
          <w:sz w:val="22"/>
          <w:szCs w:val="22"/>
          <w:lang w:val="en-GB"/>
        </w:rPr>
        <w:t xml:space="preserve">4.1.1.2 </w:t>
      </w:r>
      <w:r w:rsidR="00A46E4E" w:rsidRPr="00A46E4E">
        <w:rPr>
          <w:rFonts w:ascii="Arial" w:hAnsi="Arial" w:cs="Arial"/>
          <w:b/>
          <w:sz w:val="22"/>
          <w:szCs w:val="22"/>
          <w:lang w:val="en-GB"/>
        </w:rPr>
        <w:t xml:space="preserve">Anonymous complaints </w:t>
      </w:r>
    </w:p>
    <w:p w14:paraId="0F7254A9" w14:textId="5421AEAF" w:rsidR="00313945" w:rsidRPr="002E7169" w:rsidRDefault="00F42FE0" w:rsidP="002E7169">
      <w:pPr>
        <w:spacing w:line="360" w:lineRule="auto"/>
        <w:jc w:val="both"/>
        <w:rPr>
          <w:rFonts w:ascii="Arial" w:hAnsi="Arial" w:cs="Arial"/>
          <w:sz w:val="22"/>
          <w:szCs w:val="22"/>
          <w:lang w:val="en-GB"/>
        </w:rPr>
      </w:pPr>
      <w:r w:rsidRPr="002E7169">
        <w:rPr>
          <w:rFonts w:ascii="Arial" w:hAnsi="Arial" w:cs="Arial"/>
          <w:sz w:val="22"/>
          <w:szCs w:val="22"/>
          <w:lang w:val="en-GB"/>
        </w:rPr>
        <w:t xml:space="preserve">Anonymous complaint will not </w:t>
      </w:r>
      <w:r w:rsidR="001F6921">
        <w:rPr>
          <w:rFonts w:ascii="Arial" w:hAnsi="Arial" w:cs="Arial"/>
          <w:sz w:val="22"/>
          <w:szCs w:val="22"/>
          <w:lang w:val="en-GB"/>
        </w:rPr>
        <w:t xml:space="preserve">in principle </w:t>
      </w:r>
      <w:r w:rsidRPr="002E7169">
        <w:rPr>
          <w:rFonts w:ascii="Arial" w:hAnsi="Arial" w:cs="Arial"/>
          <w:sz w:val="22"/>
          <w:szCs w:val="22"/>
          <w:lang w:val="en-GB"/>
        </w:rPr>
        <w:t>be entertained by the Panel.</w:t>
      </w:r>
      <w:r w:rsidRPr="002E7169">
        <w:rPr>
          <w:rStyle w:val="FootnoteReference"/>
          <w:rFonts w:ascii="Arial" w:hAnsi="Arial" w:cs="Arial"/>
          <w:sz w:val="22"/>
          <w:szCs w:val="22"/>
          <w:lang w:val="en-GB"/>
        </w:rPr>
        <w:footnoteReference w:id="74"/>
      </w:r>
      <w:r w:rsidR="006F3888" w:rsidRPr="002E7169">
        <w:rPr>
          <w:rFonts w:ascii="Arial" w:hAnsi="Arial" w:cs="Arial"/>
          <w:sz w:val="22"/>
          <w:szCs w:val="22"/>
          <w:lang w:val="en-GB"/>
        </w:rPr>
        <w:t xml:space="preserve"> In the exercise of its discretion, however, the Panel may grant a request by the complaint to keep its </w:t>
      </w:r>
      <w:r w:rsidR="006F3888" w:rsidRPr="002E7169">
        <w:rPr>
          <w:rFonts w:ascii="Arial" w:hAnsi="Arial" w:cs="Arial"/>
          <w:sz w:val="22"/>
          <w:szCs w:val="22"/>
          <w:lang w:val="en-GB"/>
        </w:rPr>
        <w:lastRenderedPageBreak/>
        <w:t>identity confidential</w:t>
      </w:r>
      <w:r w:rsidR="004E5AE7" w:rsidRPr="002E7169">
        <w:rPr>
          <w:rFonts w:ascii="Arial" w:hAnsi="Arial" w:cs="Arial"/>
          <w:sz w:val="22"/>
          <w:szCs w:val="22"/>
          <w:lang w:val="en-GB"/>
        </w:rPr>
        <w:t>.</w:t>
      </w:r>
      <w:r w:rsidR="004E5AE7" w:rsidRPr="002E7169">
        <w:rPr>
          <w:rStyle w:val="FootnoteReference"/>
          <w:rFonts w:ascii="Arial" w:hAnsi="Arial" w:cs="Arial"/>
          <w:sz w:val="22"/>
          <w:szCs w:val="22"/>
          <w:lang w:val="en-GB"/>
        </w:rPr>
        <w:footnoteReference w:id="75"/>
      </w:r>
      <w:r w:rsidR="004E5AE7" w:rsidRPr="002E7169">
        <w:rPr>
          <w:rFonts w:ascii="Arial" w:hAnsi="Arial" w:cs="Arial"/>
          <w:sz w:val="22"/>
          <w:szCs w:val="22"/>
          <w:lang w:val="en-GB"/>
        </w:rPr>
        <w:t xml:space="preserve"> Where the circumstances so justify,</w:t>
      </w:r>
      <w:r w:rsidR="005F2C68" w:rsidRPr="002E7169">
        <w:rPr>
          <w:rFonts w:ascii="Arial" w:hAnsi="Arial" w:cs="Arial"/>
          <w:sz w:val="22"/>
          <w:szCs w:val="22"/>
          <w:lang w:val="en-GB"/>
        </w:rPr>
        <w:t xml:space="preserve"> and with a view to protecting the safety, privacy and identity of the complainant,</w:t>
      </w:r>
      <w:r w:rsidR="004E5AE7" w:rsidRPr="002E7169">
        <w:rPr>
          <w:rFonts w:ascii="Arial" w:hAnsi="Arial" w:cs="Arial"/>
          <w:sz w:val="22"/>
          <w:szCs w:val="22"/>
          <w:lang w:val="en-GB"/>
        </w:rPr>
        <w:t xml:space="preserve"> the Panel may take this decision </w:t>
      </w:r>
      <w:r w:rsidR="004E5AE7" w:rsidRPr="002E7169">
        <w:rPr>
          <w:rFonts w:ascii="Arial" w:hAnsi="Arial" w:cs="Arial"/>
          <w:i/>
          <w:sz w:val="22"/>
          <w:szCs w:val="22"/>
          <w:lang w:val="en-GB"/>
        </w:rPr>
        <w:t>proprio motu</w:t>
      </w:r>
      <w:r w:rsidR="004E5AE7" w:rsidRPr="002E7169">
        <w:rPr>
          <w:rFonts w:ascii="Arial" w:hAnsi="Arial" w:cs="Arial"/>
          <w:sz w:val="22"/>
          <w:szCs w:val="22"/>
          <w:lang w:val="en-GB"/>
        </w:rPr>
        <w:t>.</w:t>
      </w:r>
      <w:r w:rsidR="004E5AE7" w:rsidRPr="002E7169">
        <w:rPr>
          <w:rStyle w:val="FootnoteReference"/>
          <w:rFonts w:ascii="Arial" w:hAnsi="Arial" w:cs="Arial"/>
          <w:sz w:val="22"/>
          <w:szCs w:val="22"/>
          <w:lang w:val="en-GB"/>
        </w:rPr>
        <w:footnoteReference w:id="76"/>
      </w:r>
    </w:p>
    <w:p w14:paraId="43053BD4" w14:textId="77777777" w:rsidR="00434705" w:rsidRPr="002E7169" w:rsidRDefault="00434705" w:rsidP="002E7169">
      <w:pPr>
        <w:spacing w:line="360" w:lineRule="auto"/>
        <w:jc w:val="both"/>
        <w:rPr>
          <w:rFonts w:ascii="Arial" w:hAnsi="Arial" w:cs="Arial"/>
          <w:sz w:val="22"/>
          <w:szCs w:val="22"/>
          <w:lang w:val="en-GB"/>
        </w:rPr>
      </w:pPr>
    </w:p>
    <w:p w14:paraId="43F28280" w14:textId="5B3A195E" w:rsidR="00A46E4E" w:rsidRPr="00A46E4E" w:rsidRDefault="00BE5F6F" w:rsidP="00BE5F6F">
      <w:pPr>
        <w:spacing w:line="360" w:lineRule="auto"/>
        <w:ind w:left="1134"/>
        <w:jc w:val="both"/>
        <w:rPr>
          <w:rFonts w:ascii="Arial" w:hAnsi="Arial" w:cs="Arial"/>
          <w:b/>
          <w:sz w:val="22"/>
          <w:szCs w:val="22"/>
          <w:lang w:val="en-GB"/>
        </w:rPr>
      </w:pPr>
      <w:r>
        <w:rPr>
          <w:rFonts w:ascii="Arial" w:hAnsi="Arial" w:cs="Arial"/>
          <w:b/>
          <w:sz w:val="22"/>
          <w:szCs w:val="22"/>
          <w:lang w:val="en-GB"/>
        </w:rPr>
        <w:t xml:space="preserve">4.1.1.3 </w:t>
      </w:r>
      <w:r w:rsidR="00A46E4E" w:rsidRPr="00A46E4E">
        <w:rPr>
          <w:rFonts w:ascii="Arial" w:hAnsi="Arial" w:cs="Arial"/>
          <w:b/>
          <w:sz w:val="22"/>
          <w:szCs w:val="22"/>
          <w:lang w:val="en-GB"/>
        </w:rPr>
        <w:t xml:space="preserve">Joinder of complaints </w:t>
      </w:r>
    </w:p>
    <w:p w14:paraId="4C03524B" w14:textId="49853C92" w:rsidR="00A16339" w:rsidRPr="002E7169" w:rsidRDefault="00A16339" w:rsidP="002E7169">
      <w:pPr>
        <w:spacing w:line="360" w:lineRule="auto"/>
        <w:jc w:val="both"/>
        <w:rPr>
          <w:rFonts w:ascii="Arial" w:hAnsi="Arial" w:cs="Arial"/>
          <w:sz w:val="22"/>
          <w:szCs w:val="22"/>
          <w:lang w:val="en-GB"/>
        </w:rPr>
      </w:pPr>
      <w:r w:rsidRPr="002E7169">
        <w:rPr>
          <w:rFonts w:ascii="Arial" w:hAnsi="Arial" w:cs="Arial"/>
          <w:sz w:val="22"/>
          <w:szCs w:val="22"/>
          <w:lang w:val="en-GB"/>
        </w:rPr>
        <w:t>Complaints may be joined pursuant to Rule 20 of the Rules of Procedure where the Panel considers that it is in the interests of the proper conduct of proceedings to do so. This was done, in particular, where there existed a great deal of factual overlap between separate complaints.</w:t>
      </w:r>
      <w:r w:rsidRPr="002E7169">
        <w:rPr>
          <w:rStyle w:val="FootnoteReference"/>
          <w:rFonts w:ascii="Arial" w:hAnsi="Arial" w:cs="Arial"/>
          <w:sz w:val="22"/>
          <w:szCs w:val="22"/>
          <w:lang w:val="en-GB"/>
        </w:rPr>
        <w:footnoteReference w:id="77"/>
      </w:r>
    </w:p>
    <w:p w14:paraId="56685B86" w14:textId="77777777" w:rsidR="00B540A6" w:rsidRPr="002E7169" w:rsidRDefault="00B540A6" w:rsidP="002E7169">
      <w:pPr>
        <w:spacing w:line="360" w:lineRule="auto"/>
        <w:jc w:val="both"/>
        <w:rPr>
          <w:rFonts w:ascii="Arial" w:hAnsi="Arial" w:cs="Arial"/>
          <w:sz w:val="22"/>
          <w:szCs w:val="22"/>
          <w:lang w:val="en-GB"/>
        </w:rPr>
      </w:pPr>
    </w:p>
    <w:p w14:paraId="3718C152" w14:textId="48070D66" w:rsidR="00803201" w:rsidRPr="00BE5F6F" w:rsidRDefault="00704E92" w:rsidP="002E7169">
      <w:pPr>
        <w:pStyle w:val="Heading3"/>
        <w:spacing w:line="360" w:lineRule="auto"/>
        <w:ind w:firstLine="720"/>
        <w:jc w:val="both"/>
        <w:rPr>
          <w:rFonts w:ascii="Arial" w:hAnsi="Arial" w:cs="Arial"/>
          <w:color w:val="000000" w:themeColor="text1"/>
          <w:sz w:val="22"/>
          <w:szCs w:val="22"/>
          <w:lang w:val="en-GB"/>
        </w:rPr>
      </w:pPr>
      <w:bookmarkStart w:id="21" w:name="_Toc496014031"/>
      <w:r w:rsidRPr="00BE5F6F">
        <w:rPr>
          <w:rFonts w:ascii="Arial" w:hAnsi="Arial" w:cs="Arial"/>
          <w:color w:val="000000" w:themeColor="text1"/>
          <w:sz w:val="22"/>
          <w:szCs w:val="22"/>
          <w:lang w:val="en-GB"/>
        </w:rPr>
        <w:t>4.1.2</w:t>
      </w:r>
      <w:r w:rsidRPr="00BE5F6F">
        <w:rPr>
          <w:rFonts w:ascii="Arial" w:hAnsi="Arial" w:cs="Arial"/>
          <w:color w:val="000000" w:themeColor="text1"/>
          <w:sz w:val="22"/>
          <w:szCs w:val="22"/>
          <w:lang w:val="en-GB"/>
        </w:rPr>
        <w:tab/>
        <w:t>6-month requirement</w:t>
      </w:r>
      <w:bookmarkEnd w:id="21"/>
    </w:p>
    <w:p w14:paraId="2CBE1491" w14:textId="35AE4A0F" w:rsidR="00F42FE0" w:rsidRPr="002E7169" w:rsidRDefault="00A46E4E" w:rsidP="002E7169">
      <w:pPr>
        <w:spacing w:line="360" w:lineRule="auto"/>
        <w:jc w:val="both"/>
        <w:rPr>
          <w:rFonts w:ascii="Arial" w:hAnsi="Arial" w:cs="Arial"/>
          <w:sz w:val="22"/>
          <w:szCs w:val="22"/>
          <w:lang w:val="en-GB"/>
        </w:rPr>
      </w:pPr>
      <w:r>
        <w:rPr>
          <w:rFonts w:ascii="Arial" w:hAnsi="Arial" w:cs="Arial"/>
          <w:sz w:val="22"/>
          <w:szCs w:val="22"/>
          <w:lang w:val="en-GB"/>
        </w:rPr>
        <w:t>T</w:t>
      </w:r>
      <w:r w:rsidR="00253E4A" w:rsidRPr="002E7169">
        <w:rPr>
          <w:rFonts w:ascii="Arial" w:hAnsi="Arial" w:cs="Arial"/>
          <w:sz w:val="22"/>
          <w:szCs w:val="22"/>
          <w:lang w:val="en-GB"/>
        </w:rPr>
        <w:t>o be admissible, a complaint must be submitted to the Panel within six months from the date of the alleged violation.</w:t>
      </w:r>
      <w:r w:rsidR="00253E4A" w:rsidRPr="002E7169">
        <w:rPr>
          <w:rStyle w:val="FootnoteReference"/>
          <w:rFonts w:ascii="Arial" w:hAnsi="Arial" w:cs="Arial"/>
          <w:sz w:val="22"/>
          <w:szCs w:val="22"/>
          <w:lang w:val="en-GB"/>
        </w:rPr>
        <w:footnoteReference w:id="78"/>
      </w:r>
      <w:r w:rsidR="00253E4A" w:rsidRPr="002E7169">
        <w:rPr>
          <w:rFonts w:ascii="Arial" w:hAnsi="Arial" w:cs="Arial"/>
          <w:sz w:val="22"/>
          <w:szCs w:val="22"/>
          <w:lang w:val="en-GB"/>
        </w:rPr>
        <w:t xml:space="preserve"> Complaints filed beyond that timeframe will in principle be declared inadmissible</w:t>
      </w:r>
      <w:r w:rsidR="00F42FE0" w:rsidRPr="002E7169">
        <w:rPr>
          <w:rFonts w:ascii="Arial" w:hAnsi="Arial" w:cs="Arial"/>
          <w:sz w:val="22"/>
          <w:szCs w:val="22"/>
          <w:lang w:val="en-GB"/>
        </w:rPr>
        <w:t xml:space="preserve"> in accordance with Rule 29(c) of the Panel’s Rules of Procedure</w:t>
      </w:r>
      <w:r w:rsidR="00253E4A" w:rsidRPr="002E7169">
        <w:rPr>
          <w:rFonts w:ascii="Arial" w:hAnsi="Arial" w:cs="Arial"/>
          <w:sz w:val="22"/>
          <w:szCs w:val="22"/>
          <w:lang w:val="en-GB"/>
        </w:rPr>
        <w:t>.</w:t>
      </w:r>
      <w:r w:rsidR="00253E4A" w:rsidRPr="002E7169">
        <w:rPr>
          <w:rStyle w:val="FootnoteReference"/>
          <w:rFonts w:ascii="Arial" w:hAnsi="Arial" w:cs="Arial"/>
          <w:sz w:val="22"/>
          <w:szCs w:val="22"/>
          <w:lang w:val="en-GB"/>
        </w:rPr>
        <w:footnoteReference w:id="79"/>
      </w:r>
      <w:r w:rsidR="00725BA6" w:rsidRPr="002E7169">
        <w:rPr>
          <w:rFonts w:ascii="Arial" w:hAnsi="Arial" w:cs="Arial"/>
          <w:sz w:val="22"/>
          <w:szCs w:val="22"/>
          <w:lang w:val="en-GB"/>
        </w:rPr>
        <w:t xml:space="preserve"> </w:t>
      </w:r>
    </w:p>
    <w:p w14:paraId="761B0621" w14:textId="77777777" w:rsidR="00F42FE0" w:rsidRPr="002E7169" w:rsidRDefault="00F42FE0" w:rsidP="002E7169">
      <w:pPr>
        <w:spacing w:line="360" w:lineRule="auto"/>
        <w:jc w:val="both"/>
        <w:rPr>
          <w:rFonts w:ascii="Arial" w:hAnsi="Arial" w:cs="Arial"/>
          <w:sz w:val="22"/>
          <w:szCs w:val="22"/>
          <w:lang w:val="en-GB"/>
        </w:rPr>
      </w:pPr>
    </w:p>
    <w:p w14:paraId="1ED7ECA3" w14:textId="533540FD" w:rsidR="00B540A6" w:rsidRPr="002E7169" w:rsidRDefault="00725BA6" w:rsidP="002E7169">
      <w:pPr>
        <w:spacing w:line="360" w:lineRule="auto"/>
        <w:jc w:val="both"/>
        <w:rPr>
          <w:rFonts w:ascii="Arial" w:hAnsi="Arial" w:cs="Arial"/>
          <w:sz w:val="22"/>
          <w:szCs w:val="22"/>
          <w:lang w:val="en-GB"/>
        </w:rPr>
      </w:pPr>
      <w:r w:rsidRPr="002E7169">
        <w:rPr>
          <w:rFonts w:ascii="Arial" w:hAnsi="Arial" w:cs="Arial"/>
          <w:sz w:val="22"/>
          <w:szCs w:val="22"/>
          <w:lang w:val="en-GB"/>
        </w:rPr>
        <w:t>In some instances, however, the Panel has exercised its discretion to declare admissible complaints that were filed belatedly but where particular circumstances pertaining to the case justified that the matter not be declared inadmissible on such grounds. The particular gravity of the alleged violation or the belief on the part of the complainant that the matter was still under the Mission’s consideration have been regarded as particularly relevant in that regard by the Panel.</w:t>
      </w:r>
      <w:r w:rsidR="00706235">
        <w:rPr>
          <w:rStyle w:val="FootnoteReference"/>
          <w:rFonts w:ascii="Arial" w:hAnsi="Arial" w:cs="Arial"/>
          <w:sz w:val="22"/>
          <w:szCs w:val="22"/>
          <w:lang w:val="en-GB"/>
        </w:rPr>
        <w:footnoteReference w:id="80"/>
      </w:r>
      <w:r w:rsidR="0043409D" w:rsidRPr="002E7169">
        <w:rPr>
          <w:rFonts w:ascii="Arial" w:hAnsi="Arial" w:cs="Arial"/>
          <w:sz w:val="22"/>
          <w:szCs w:val="22"/>
          <w:lang w:val="en-GB"/>
        </w:rPr>
        <w:t xml:space="preserve"> </w:t>
      </w:r>
      <w:r w:rsidR="00F166CA">
        <w:rPr>
          <w:rFonts w:ascii="Arial" w:hAnsi="Arial" w:cs="Arial"/>
          <w:sz w:val="22"/>
          <w:szCs w:val="22"/>
          <w:lang w:val="en-GB"/>
        </w:rPr>
        <w:t>Furthermore, if the violation is ongoing, the 6-month deadline has not lapsed.</w:t>
      </w:r>
      <w:r w:rsidR="00F166CA">
        <w:rPr>
          <w:rStyle w:val="FootnoteReference"/>
          <w:rFonts w:ascii="Arial" w:hAnsi="Arial" w:cs="Arial"/>
          <w:sz w:val="22"/>
          <w:szCs w:val="22"/>
          <w:lang w:val="en-GB"/>
        </w:rPr>
        <w:footnoteReference w:id="81"/>
      </w:r>
      <w:r w:rsidR="00F166CA">
        <w:rPr>
          <w:rFonts w:ascii="Arial" w:hAnsi="Arial" w:cs="Arial"/>
          <w:sz w:val="22"/>
          <w:szCs w:val="22"/>
          <w:lang w:val="en-GB"/>
        </w:rPr>
        <w:t xml:space="preserve"> The deadline starts to run on the date after the impugned action said to have caused or resulted in a right violation.</w:t>
      </w:r>
      <w:r w:rsidR="00F166CA">
        <w:rPr>
          <w:rStyle w:val="FootnoteReference"/>
          <w:rFonts w:ascii="Arial" w:hAnsi="Arial" w:cs="Arial"/>
          <w:sz w:val="22"/>
          <w:szCs w:val="22"/>
          <w:lang w:val="en-GB"/>
        </w:rPr>
        <w:footnoteReference w:id="82"/>
      </w:r>
    </w:p>
    <w:p w14:paraId="335D56CE" w14:textId="77777777" w:rsidR="00B540A6" w:rsidRPr="002E7169" w:rsidRDefault="00B540A6" w:rsidP="002E7169">
      <w:pPr>
        <w:pStyle w:val="ListParagraph"/>
        <w:spacing w:line="360" w:lineRule="auto"/>
        <w:ind w:left="1440"/>
        <w:jc w:val="both"/>
        <w:rPr>
          <w:rFonts w:ascii="Arial" w:hAnsi="Arial" w:cs="Arial"/>
          <w:sz w:val="22"/>
          <w:szCs w:val="22"/>
          <w:lang w:val="en-GB"/>
        </w:rPr>
      </w:pPr>
    </w:p>
    <w:p w14:paraId="6B1D5B4D" w14:textId="359F8F26" w:rsidR="00803201" w:rsidRPr="00BE5F6F" w:rsidRDefault="006678E6" w:rsidP="002E7169">
      <w:pPr>
        <w:pStyle w:val="Heading3"/>
        <w:spacing w:line="360" w:lineRule="auto"/>
        <w:ind w:firstLine="720"/>
        <w:jc w:val="both"/>
        <w:rPr>
          <w:rFonts w:ascii="Arial" w:hAnsi="Arial" w:cs="Arial"/>
          <w:color w:val="000000" w:themeColor="text1"/>
          <w:sz w:val="22"/>
          <w:szCs w:val="22"/>
          <w:lang w:val="en-GB"/>
        </w:rPr>
      </w:pPr>
      <w:bookmarkStart w:id="22" w:name="_Toc496014032"/>
      <w:r w:rsidRPr="00BE5F6F">
        <w:rPr>
          <w:rFonts w:ascii="Arial" w:hAnsi="Arial" w:cs="Arial"/>
          <w:color w:val="000000" w:themeColor="text1"/>
          <w:sz w:val="22"/>
          <w:szCs w:val="22"/>
          <w:lang w:val="en-GB"/>
        </w:rPr>
        <w:lastRenderedPageBreak/>
        <w:t>4.1.3</w:t>
      </w:r>
      <w:r w:rsidRPr="00BE5F6F">
        <w:rPr>
          <w:rFonts w:ascii="Arial" w:hAnsi="Arial" w:cs="Arial"/>
          <w:color w:val="000000" w:themeColor="text1"/>
          <w:sz w:val="22"/>
          <w:szCs w:val="22"/>
          <w:lang w:val="en-GB"/>
        </w:rPr>
        <w:tab/>
      </w:r>
      <w:r w:rsidR="00FF1625" w:rsidRPr="00BE5F6F">
        <w:rPr>
          <w:rFonts w:ascii="Arial" w:hAnsi="Arial" w:cs="Arial"/>
          <w:color w:val="000000" w:themeColor="text1"/>
          <w:sz w:val="22"/>
          <w:szCs w:val="22"/>
          <w:lang w:val="en-GB"/>
        </w:rPr>
        <w:t>Requirement of substantiation</w:t>
      </w:r>
      <w:bookmarkEnd w:id="22"/>
    </w:p>
    <w:p w14:paraId="3E5B1A71" w14:textId="562F5BA4" w:rsidR="00B540A6" w:rsidRPr="002E7169" w:rsidRDefault="00725BA6" w:rsidP="002E7169">
      <w:pPr>
        <w:spacing w:line="360" w:lineRule="auto"/>
        <w:jc w:val="both"/>
        <w:rPr>
          <w:rFonts w:ascii="Arial" w:hAnsi="Arial" w:cs="Arial"/>
          <w:sz w:val="22"/>
          <w:szCs w:val="22"/>
          <w:lang w:val="en-GB"/>
        </w:rPr>
      </w:pPr>
      <w:r w:rsidRPr="002E7169">
        <w:rPr>
          <w:rFonts w:ascii="Arial" w:hAnsi="Arial" w:cs="Arial"/>
          <w:sz w:val="22"/>
          <w:szCs w:val="22"/>
          <w:lang w:val="en-GB"/>
        </w:rPr>
        <w:t xml:space="preserve">In order for the complaint to be admissible, it must be sufficiently substantiated by the complainant. It will otherwise be declared inadmissible </w:t>
      </w:r>
      <w:r w:rsidR="00F42FE0" w:rsidRPr="002E7169">
        <w:rPr>
          <w:rFonts w:ascii="Arial" w:hAnsi="Arial" w:cs="Arial"/>
          <w:sz w:val="22"/>
          <w:szCs w:val="22"/>
          <w:lang w:val="en-GB"/>
        </w:rPr>
        <w:t xml:space="preserve">as “ill-founded” </w:t>
      </w:r>
      <w:r w:rsidRPr="002E7169">
        <w:rPr>
          <w:rFonts w:ascii="Arial" w:hAnsi="Arial" w:cs="Arial"/>
          <w:sz w:val="22"/>
          <w:szCs w:val="22"/>
          <w:lang w:val="en-GB"/>
        </w:rPr>
        <w:t>in accordance with Rule 29(</w:t>
      </w:r>
      <w:r w:rsidR="00F42FE0" w:rsidRPr="002E7169">
        <w:rPr>
          <w:rFonts w:ascii="Arial" w:hAnsi="Arial" w:cs="Arial"/>
          <w:sz w:val="22"/>
          <w:szCs w:val="22"/>
          <w:lang w:val="en-GB"/>
        </w:rPr>
        <w:t>e) of the Panel’s Rules of Procedure.</w:t>
      </w:r>
      <w:r w:rsidR="00F166CA">
        <w:rPr>
          <w:rStyle w:val="FootnoteReference"/>
          <w:rFonts w:ascii="Arial" w:hAnsi="Arial" w:cs="Arial"/>
          <w:sz w:val="22"/>
          <w:szCs w:val="22"/>
          <w:lang w:val="en-GB"/>
        </w:rPr>
        <w:footnoteReference w:id="83"/>
      </w:r>
    </w:p>
    <w:p w14:paraId="5FB84A41" w14:textId="77777777" w:rsidR="00F42FE0" w:rsidRPr="002E7169" w:rsidRDefault="00F42FE0" w:rsidP="002E7169">
      <w:pPr>
        <w:spacing w:line="360" w:lineRule="auto"/>
        <w:jc w:val="both"/>
        <w:rPr>
          <w:rFonts w:ascii="Arial" w:hAnsi="Arial" w:cs="Arial"/>
          <w:sz w:val="22"/>
          <w:szCs w:val="22"/>
          <w:lang w:val="en-GB"/>
        </w:rPr>
      </w:pPr>
    </w:p>
    <w:p w14:paraId="254C2FB0" w14:textId="581B97E8" w:rsidR="00F42FE0" w:rsidRPr="00BE5F6F" w:rsidRDefault="006678E6" w:rsidP="002E7169">
      <w:pPr>
        <w:pStyle w:val="Heading3"/>
        <w:spacing w:line="360" w:lineRule="auto"/>
        <w:ind w:firstLine="720"/>
        <w:jc w:val="both"/>
        <w:rPr>
          <w:rFonts w:ascii="Arial" w:hAnsi="Arial" w:cs="Arial"/>
          <w:color w:val="000000" w:themeColor="text1"/>
          <w:sz w:val="22"/>
          <w:szCs w:val="22"/>
          <w:lang w:val="en-GB"/>
        </w:rPr>
      </w:pPr>
      <w:bookmarkStart w:id="23" w:name="_Toc496014033"/>
      <w:r w:rsidRPr="00BE5F6F">
        <w:rPr>
          <w:rFonts w:ascii="Arial" w:hAnsi="Arial" w:cs="Arial"/>
          <w:color w:val="000000" w:themeColor="text1"/>
          <w:sz w:val="22"/>
          <w:szCs w:val="22"/>
          <w:lang w:val="en-GB"/>
        </w:rPr>
        <w:t>4.1.4</w:t>
      </w:r>
      <w:r w:rsidRPr="00BE5F6F">
        <w:rPr>
          <w:rFonts w:ascii="Arial" w:hAnsi="Arial" w:cs="Arial"/>
          <w:color w:val="000000" w:themeColor="text1"/>
          <w:sz w:val="22"/>
          <w:szCs w:val="22"/>
          <w:lang w:val="en-GB"/>
        </w:rPr>
        <w:tab/>
      </w:r>
      <w:r w:rsidR="00F42FE0" w:rsidRPr="00BE5F6F">
        <w:rPr>
          <w:rFonts w:ascii="Arial" w:hAnsi="Arial" w:cs="Arial"/>
          <w:color w:val="000000" w:themeColor="text1"/>
          <w:sz w:val="22"/>
          <w:szCs w:val="22"/>
          <w:lang w:val="en-GB"/>
        </w:rPr>
        <w:t>Abuse of right</w:t>
      </w:r>
      <w:bookmarkEnd w:id="23"/>
    </w:p>
    <w:p w14:paraId="0B00E720" w14:textId="594D0090" w:rsidR="00F42FE0" w:rsidRPr="002E7169" w:rsidRDefault="00F42FE0" w:rsidP="002E7169">
      <w:pPr>
        <w:spacing w:line="360" w:lineRule="auto"/>
        <w:jc w:val="both"/>
        <w:rPr>
          <w:rFonts w:ascii="Arial" w:hAnsi="Arial" w:cs="Arial"/>
          <w:sz w:val="22"/>
          <w:szCs w:val="22"/>
          <w:lang w:val="en-GB"/>
        </w:rPr>
      </w:pPr>
      <w:r w:rsidRPr="002E7169">
        <w:rPr>
          <w:rFonts w:ascii="Arial" w:hAnsi="Arial" w:cs="Arial"/>
          <w:sz w:val="22"/>
          <w:szCs w:val="22"/>
          <w:lang w:val="en-GB"/>
        </w:rPr>
        <w:t>Rule 29(f) of the Panel’s Rules of Procedure provides that a complaint will be declared inadmissible where it constitutes an abuse of right. This provision has not thus far been relied upon by the Panel and it is not therefore entirely clear what might qualify as an ‘abuse of right’ for the purpose of that provision.</w:t>
      </w:r>
    </w:p>
    <w:p w14:paraId="57109295" w14:textId="77777777" w:rsidR="00F42FE0" w:rsidRPr="002E7169" w:rsidRDefault="00F42FE0" w:rsidP="002E7169">
      <w:pPr>
        <w:spacing w:line="360" w:lineRule="auto"/>
        <w:jc w:val="both"/>
        <w:rPr>
          <w:rFonts w:ascii="Arial" w:hAnsi="Arial" w:cs="Arial"/>
          <w:sz w:val="22"/>
          <w:szCs w:val="22"/>
          <w:lang w:val="en-GB"/>
        </w:rPr>
      </w:pPr>
    </w:p>
    <w:p w14:paraId="2610A516" w14:textId="1427DB7A" w:rsidR="00F42FE0" w:rsidRPr="00BE5F6F" w:rsidRDefault="006678E6" w:rsidP="002E7169">
      <w:pPr>
        <w:pStyle w:val="Heading3"/>
        <w:spacing w:line="360" w:lineRule="auto"/>
        <w:ind w:firstLine="720"/>
        <w:jc w:val="both"/>
        <w:rPr>
          <w:rFonts w:ascii="Arial" w:hAnsi="Arial" w:cs="Arial"/>
          <w:color w:val="000000" w:themeColor="text1"/>
          <w:sz w:val="22"/>
          <w:szCs w:val="22"/>
          <w:lang w:val="en-GB"/>
        </w:rPr>
      </w:pPr>
      <w:bookmarkStart w:id="24" w:name="_Toc496014034"/>
      <w:r w:rsidRPr="00BE5F6F">
        <w:rPr>
          <w:rFonts w:ascii="Arial" w:hAnsi="Arial" w:cs="Arial"/>
          <w:color w:val="000000" w:themeColor="text1"/>
          <w:sz w:val="22"/>
          <w:szCs w:val="22"/>
          <w:lang w:val="en-GB"/>
        </w:rPr>
        <w:t>4.1.5</w:t>
      </w:r>
      <w:r w:rsidRPr="00BE5F6F">
        <w:rPr>
          <w:rFonts w:ascii="Arial" w:hAnsi="Arial" w:cs="Arial"/>
          <w:color w:val="000000" w:themeColor="text1"/>
          <w:sz w:val="22"/>
          <w:szCs w:val="22"/>
          <w:lang w:val="en-GB"/>
        </w:rPr>
        <w:tab/>
      </w:r>
      <w:r w:rsidR="00F42FE0" w:rsidRPr="00BE5F6F">
        <w:rPr>
          <w:rFonts w:ascii="Arial" w:hAnsi="Arial" w:cs="Arial"/>
          <w:color w:val="000000" w:themeColor="text1"/>
          <w:sz w:val="22"/>
          <w:szCs w:val="22"/>
          <w:lang w:val="en-GB"/>
        </w:rPr>
        <w:t>Premature complaints</w:t>
      </w:r>
      <w:bookmarkEnd w:id="24"/>
    </w:p>
    <w:p w14:paraId="5F332DB7" w14:textId="11A84BE6" w:rsidR="00C351BD" w:rsidRPr="002E7169" w:rsidRDefault="00D0174F" w:rsidP="002E7169">
      <w:pPr>
        <w:spacing w:line="360" w:lineRule="auto"/>
        <w:jc w:val="both"/>
        <w:rPr>
          <w:rFonts w:ascii="Arial" w:hAnsi="Arial" w:cs="Arial"/>
          <w:sz w:val="22"/>
          <w:szCs w:val="22"/>
          <w:lang w:val="en-GB"/>
        </w:rPr>
      </w:pPr>
      <w:r w:rsidRPr="002E7169">
        <w:rPr>
          <w:rFonts w:ascii="Arial" w:hAnsi="Arial" w:cs="Arial"/>
          <w:sz w:val="22"/>
          <w:szCs w:val="22"/>
          <w:lang w:val="en-GB"/>
        </w:rPr>
        <w:t xml:space="preserve">A complaint will be declared inadmissible where it is premature. In </w:t>
      </w:r>
      <w:r w:rsidRPr="00720465">
        <w:rPr>
          <w:rFonts w:ascii="Arial" w:hAnsi="Arial" w:cs="Arial"/>
          <w:i/>
          <w:sz w:val="22"/>
          <w:szCs w:val="22"/>
          <w:lang w:val="en-GB"/>
        </w:rPr>
        <w:t>Radunovic</w:t>
      </w:r>
      <w:r w:rsidRPr="002E7169">
        <w:rPr>
          <w:rFonts w:ascii="Arial" w:hAnsi="Arial" w:cs="Arial"/>
          <w:sz w:val="22"/>
          <w:szCs w:val="22"/>
          <w:lang w:val="en-GB"/>
        </w:rPr>
        <w:t>, for instance, the Panel declared the matter premature as the violation of rights envisaged by the complainant had not yet in fact occurred and was dependent on a decision of the authorities that had yet to be taken.</w:t>
      </w:r>
      <w:r w:rsidRPr="002E7169">
        <w:rPr>
          <w:rStyle w:val="FootnoteReference"/>
          <w:rFonts w:ascii="Arial" w:hAnsi="Arial" w:cs="Arial"/>
          <w:sz w:val="22"/>
          <w:szCs w:val="22"/>
          <w:lang w:val="en-GB"/>
        </w:rPr>
        <w:footnoteReference w:id="84"/>
      </w:r>
      <w:r w:rsidRPr="002E7169">
        <w:rPr>
          <w:rFonts w:ascii="Arial" w:hAnsi="Arial" w:cs="Arial"/>
          <w:sz w:val="22"/>
          <w:szCs w:val="22"/>
          <w:lang w:val="en-GB"/>
        </w:rPr>
        <w:t xml:space="preserve"> In that sense, </w:t>
      </w:r>
      <w:r w:rsidRPr="002E7169">
        <w:rPr>
          <w:rFonts w:ascii="Arial" w:hAnsi="Arial" w:cs="Arial"/>
          <w:i/>
          <w:sz w:val="22"/>
          <w:szCs w:val="22"/>
          <w:lang w:val="en-GB"/>
        </w:rPr>
        <w:t>pre-emptive</w:t>
      </w:r>
      <w:r w:rsidRPr="002E7169">
        <w:rPr>
          <w:rFonts w:ascii="Arial" w:hAnsi="Arial" w:cs="Arial"/>
          <w:sz w:val="22"/>
          <w:szCs w:val="22"/>
          <w:lang w:val="en-GB"/>
        </w:rPr>
        <w:t xml:space="preserve"> complaints are not permissible.</w:t>
      </w:r>
    </w:p>
    <w:p w14:paraId="0E984381" w14:textId="77777777" w:rsidR="00CD0A8D" w:rsidRPr="002E7169" w:rsidRDefault="00CD0A8D" w:rsidP="002E7169">
      <w:pPr>
        <w:spacing w:line="360" w:lineRule="auto"/>
        <w:jc w:val="both"/>
        <w:rPr>
          <w:rFonts w:ascii="Arial" w:hAnsi="Arial" w:cs="Arial"/>
          <w:sz w:val="22"/>
          <w:szCs w:val="22"/>
          <w:lang w:val="en-GB"/>
        </w:rPr>
      </w:pPr>
    </w:p>
    <w:p w14:paraId="6FC26EBC" w14:textId="454385E9" w:rsidR="00CF30E0" w:rsidRPr="00BE5F6F" w:rsidRDefault="006678E6" w:rsidP="002E7169">
      <w:pPr>
        <w:pStyle w:val="Heading2"/>
        <w:spacing w:line="360" w:lineRule="auto"/>
        <w:jc w:val="both"/>
        <w:rPr>
          <w:rFonts w:cs="Arial"/>
          <w:color w:val="4F81BD" w:themeColor="accent1"/>
          <w:sz w:val="22"/>
          <w:szCs w:val="22"/>
          <w:lang w:val="en-GB"/>
        </w:rPr>
      </w:pPr>
      <w:bookmarkStart w:id="25" w:name="_Toc496014035"/>
      <w:r w:rsidRPr="00BE5F6F">
        <w:rPr>
          <w:rFonts w:cs="Arial"/>
          <w:color w:val="4F81BD" w:themeColor="accent1"/>
          <w:sz w:val="22"/>
          <w:szCs w:val="22"/>
          <w:lang w:val="en-GB"/>
        </w:rPr>
        <w:t>4.2</w:t>
      </w:r>
      <w:r w:rsidRPr="00BE5F6F">
        <w:rPr>
          <w:rFonts w:cs="Arial"/>
          <w:color w:val="4F81BD" w:themeColor="accent1"/>
          <w:sz w:val="22"/>
          <w:szCs w:val="22"/>
          <w:lang w:val="en-GB"/>
        </w:rPr>
        <w:tab/>
      </w:r>
      <w:r w:rsidR="00FF1625" w:rsidRPr="00BE5F6F">
        <w:rPr>
          <w:rFonts w:cs="Arial"/>
          <w:color w:val="4F81BD" w:themeColor="accent1"/>
          <w:sz w:val="22"/>
          <w:szCs w:val="22"/>
          <w:lang w:val="en-GB"/>
        </w:rPr>
        <w:t>Procedure before the Panel – Select aspects</w:t>
      </w:r>
      <w:bookmarkEnd w:id="25"/>
      <w:r w:rsidR="00FF1625" w:rsidRPr="00BE5F6F">
        <w:rPr>
          <w:rFonts w:cs="Arial"/>
          <w:color w:val="4F81BD" w:themeColor="accent1"/>
          <w:sz w:val="22"/>
          <w:szCs w:val="22"/>
          <w:lang w:val="en-GB"/>
        </w:rPr>
        <w:t xml:space="preserve"> </w:t>
      </w:r>
    </w:p>
    <w:p w14:paraId="50C907E6" w14:textId="63314510" w:rsidR="00803201" w:rsidRPr="00BE5F6F" w:rsidRDefault="00E74A41" w:rsidP="002E7169">
      <w:pPr>
        <w:pStyle w:val="Heading3"/>
        <w:spacing w:line="360" w:lineRule="auto"/>
        <w:ind w:firstLine="720"/>
        <w:jc w:val="both"/>
        <w:rPr>
          <w:rFonts w:ascii="Arial" w:hAnsi="Arial" w:cs="Arial"/>
          <w:color w:val="000000" w:themeColor="text1"/>
          <w:sz w:val="22"/>
          <w:szCs w:val="22"/>
          <w:lang w:val="en-GB"/>
        </w:rPr>
      </w:pPr>
      <w:bookmarkStart w:id="26" w:name="_Toc496014036"/>
      <w:r w:rsidRPr="00BE5F6F">
        <w:rPr>
          <w:rFonts w:ascii="Arial" w:hAnsi="Arial" w:cs="Arial"/>
          <w:color w:val="000000" w:themeColor="text1"/>
          <w:sz w:val="22"/>
          <w:szCs w:val="22"/>
          <w:lang w:val="en-GB"/>
        </w:rPr>
        <w:t>4.2.1</w:t>
      </w:r>
      <w:r w:rsidRPr="00BE5F6F">
        <w:rPr>
          <w:rFonts w:ascii="Arial" w:hAnsi="Arial" w:cs="Arial"/>
          <w:color w:val="000000" w:themeColor="text1"/>
          <w:sz w:val="22"/>
          <w:szCs w:val="22"/>
          <w:lang w:val="en-GB"/>
        </w:rPr>
        <w:tab/>
      </w:r>
      <w:r w:rsidR="00FF1625" w:rsidRPr="00BE5F6F">
        <w:rPr>
          <w:rFonts w:ascii="Arial" w:hAnsi="Arial" w:cs="Arial"/>
          <w:color w:val="000000" w:themeColor="text1"/>
          <w:sz w:val="22"/>
          <w:szCs w:val="22"/>
          <w:lang w:val="en-GB"/>
        </w:rPr>
        <w:t>Written complaints</w:t>
      </w:r>
      <w:r w:rsidR="00631198" w:rsidRPr="00BE5F6F">
        <w:rPr>
          <w:rFonts w:ascii="Arial" w:hAnsi="Arial" w:cs="Arial"/>
          <w:color w:val="000000" w:themeColor="text1"/>
          <w:sz w:val="22"/>
          <w:szCs w:val="22"/>
          <w:lang w:val="en-GB"/>
        </w:rPr>
        <w:t xml:space="preserve"> </w:t>
      </w:r>
      <w:r w:rsidR="00FF1625" w:rsidRPr="00BE5F6F">
        <w:rPr>
          <w:rFonts w:ascii="Arial" w:hAnsi="Arial" w:cs="Arial"/>
          <w:color w:val="000000" w:themeColor="text1"/>
          <w:sz w:val="22"/>
          <w:szCs w:val="22"/>
          <w:lang w:val="en-GB"/>
        </w:rPr>
        <w:t>and orality</w:t>
      </w:r>
      <w:bookmarkEnd w:id="26"/>
      <w:r w:rsidR="00FF1625" w:rsidRPr="00BE5F6F">
        <w:rPr>
          <w:rFonts w:ascii="Arial" w:hAnsi="Arial" w:cs="Arial"/>
          <w:color w:val="000000" w:themeColor="text1"/>
          <w:sz w:val="22"/>
          <w:szCs w:val="22"/>
          <w:lang w:val="en-GB"/>
        </w:rPr>
        <w:t xml:space="preserve"> </w:t>
      </w:r>
    </w:p>
    <w:p w14:paraId="5208DA59" w14:textId="77777777" w:rsidR="006E472F" w:rsidRDefault="00CD0A8D" w:rsidP="002E7169">
      <w:pPr>
        <w:spacing w:line="360" w:lineRule="auto"/>
        <w:jc w:val="both"/>
        <w:rPr>
          <w:rFonts w:ascii="Arial" w:hAnsi="Arial" w:cs="Arial"/>
          <w:sz w:val="22"/>
          <w:szCs w:val="22"/>
          <w:lang w:val="en-GB"/>
        </w:rPr>
      </w:pPr>
      <w:r w:rsidRPr="002E7169">
        <w:rPr>
          <w:rFonts w:ascii="Arial" w:hAnsi="Arial" w:cs="Arial"/>
          <w:sz w:val="22"/>
          <w:szCs w:val="22"/>
          <w:lang w:val="en-GB"/>
        </w:rPr>
        <w:t>As noted above, complaints must be in writing. Proc</w:t>
      </w:r>
      <w:r w:rsidR="006E472F">
        <w:rPr>
          <w:rFonts w:ascii="Arial" w:hAnsi="Arial" w:cs="Arial"/>
          <w:sz w:val="22"/>
          <w:szCs w:val="22"/>
          <w:lang w:val="en-GB"/>
        </w:rPr>
        <w:t>eedings too will generally take place in writing</w:t>
      </w:r>
      <w:r w:rsidRPr="002E7169">
        <w:rPr>
          <w:rFonts w:ascii="Arial" w:hAnsi="Arial" w:cs="Arial"/>
          <w:sz w:val="22"/>
          <w:szCs w:val="22"/>
          <w:lang w:val="en-GB"/>
        </w:rPr>
        <w:t>. On a number of occasions, however, complainant</w:t>
      </w:r>
      <w:r w:rsidR="006E472F">
        <w:rPr>
          <w:rFonts w:ascii="Arial" w:hAnsi="Arial" w:cs="Arial"/>
          <w:sz w:val="22"/>
          <w:szCs w:val="22"/>
          <w:lang w:val="en-GB"/>
        </w:rPr>
        <w:t>s</w:t>
      </w:r>
      <w:r w:rsidRPr="002E7169">
        <w:rPr>
          <w:rFonts w:ascii="Arial" w:hAnsi="Arial" w:cs="Arial"/>
          <w:sz w:val="22"/>
          <w:szCs w:val="22"/>
          <w:lang w:val="en-GB"/>
        </w:rPr>
        <w:t xml:space="preserve"> </w:t>
      </w:r>
      <w:r w:rsidR="006E472F">
        <w:rPr>
          <w:rFonts w:ascii="Arial" w:hAnsi="Arial" w:cs="Arial"/>
          <w:sz w:val="22"/>
          <w:szCs w:val="22"/>
          <w:lang w:val="en-GB"/>
        </w:rPr>
        <w:t>have</w:t>
      </w:r>
      <w:r w:rsidRPr="002E7169">
        <w:rPr>
          <w:rFonts w:ascii="Arial" w:hAnsi="Arial" w:cs="Arial"/>
          <w:sz w:val="22"/>
          <w:szCs w:val="22"/>
          <w:lang w:val="en-GB"/>
        </w:rPr>
        <w:t xml:space="preserve"> met with staff of the Secretariat of the Panel to pro</w:t>
      </w:r>
      <w:r w:rsidR="006E472F">
        <w:rPr>
          <w:rFonts w:ascii="Arial" w:hAnsi="Arial" w:cs="Arial"/>
          <w:sz w:val="22"/>
          <w:szCs w:val="22"/>
          <w:lang w:val="en-GB"/>
        </w:rPr>
        <w:t>vide additional information. I</w:t>
      </w:r>
      <w:r w:rsidRPr="002E7169">
        <w:rPr>
          <w:rFonts w:ascii="Arial" w:hAnsi="Arial" w:cs="Arial"/>
          <w:sz w:val="22"/>
          <w:szCs w:val="22"/>
          <w:lang w:val="en-GB"/>
        </w:rPr>
        <w:t xml:space="preserve">n such cases, the Secretariat of the Panel would prepare a written record of such meetings and, at the discretion of the Panel, such information might be communicated for comments to the Head of Mission where relevant to the admissibility or merit of the case. </w:t>
      </w:r>
    </w:p>
    <w:p w14:paraId="71E07E05" w14:textId="77777777" w:rsidR="006E472F" w:rsidRDefault="006E472F" w:rsidP="002E7169">
      <w:pPr>
        <w:spacing w:line="360" w:lineRule="auto"/>
        <w:jc w:val="both"/>
        <w:rPr>
          <w:rFonts w:ascii="Arial" w:hAnsi="Arial" w:cs="Arial"/>
          <w:sz w:val="22"/>
          <w:szCs w:val="22"/>
          <w:lang w:val="en-GB"/>
        </w:rPr>
      </w:pPr>
    </w:p>
    <w:p w14:paraId="1E25AEAB" w14:textId="38AD77FA" w:rsidR="00B540A6" w:rsidRPr="002E7169" w:rsidRDefault="00CD0A8D" w:rsidP="002E7169">
      <w:pPr>
        <w:spacing w:line="360" w:lineRule="auto"/>
        <w:jc w:val="both"/>
        <w:rPr>
          <w:rFonts w:ascii="Arial" w:hAnsi="Arial" w:cs="Arial"/>
          <w:sz w:val="22"/>
          <w:szCs w:val="22"/>
          <w:lang w:val="en-GB"/>
        </w:rPr>
      </w:pPr>
      <w:r w:rsidRPr="002E7169">
        <w:rPr>
          <w:rFonts w:ascii="Arial" w:hAnsi="Arial" w:cs="Arial"/>
          <w:sz w:val="22"/>
          <w:szCs w:val="22"/>
          <w:lang w:val="en-GB"/>
        </w:rPr>
        <w:lastRenderedPageBreak/>
        <w:t>On a limited number of occasions, the Panel has also agreed to the Mission making oral representations to the Panel, rather than in writing. This was done where particularly sensitive information was at stake.</w:t>
      </w:r>
      <w:r w:rsidRPr="002E7169">
        <w:rPr>
          <w:rStyle w:val="FootnoteReference"/>
          <w:rFonts w:ascii="Arial" w:hAnsi="Arial" w:cs="Arial"/>
          <w:sz w:val="22"/>
          <w:szCs w:val="22"/>
          <w:lang w:val="en-GB"/>
        </w:rPr>
        <w:footnoteReference w:id="85"/>
      </w:r>
    </w:p>
    <w:p w14:paraId="3C75F50E" w14:textId="77777777" w:rsidR="00CD0A8D" w:rsidRPr="002E7169" w:rsidRDefault="00CD0A8D" w:rsidP="002E7169">
      <w:pPr>
        <w:spacing w:line="360" w:lineRule="auto"/>
        <w:jc w:val="both"/>
        <w:rPr>
          <w:rFonts w:ascii="Arial" w:hAnsi="Arial" w:cs="Arial"/>
          <w:sz w:val="22"/>
          <w:szCs w:val="22"/>
          <w:lang w:val="en-GB"/>
        </w:rPr>
      </w:pPr>
    </w:p>
    <w:p w14:paraId="7FF47D64" w14:textId="5ECB877B" w:rsidR="00803201" w:rsidRPr="00BE5F6F" w:rsidRDefault="00E74A41" w:rsidP="002E7169">
      <w:pPr>
        <w:pStyle w:val="Heading3"/>
        <w:spacing w:line="360" w:lineRule="auto"/>
        <w:ind w:firstLine="720"/>
        <w:jc w:val="both"/>
        <w:rPr>
          <w:rFonts w:ascii="Arial" w:hAnsi="Arial" w:cs="Arial"/>
          <w:color w:val="000000" w:themeColor="text1"/>
          <w:sz w:val="22"/>
          <w:szCs w:val="22"/>
          <w:lang w:val="en-GB"/>
        </w:rPr>
      </w:pPr>
      <w:bookmarkStart w:id="27" w:name="_Toc496014037"/>
      <w:r w:rsidRPr="00BE5F6F">
        <w:rPr>
          <w:rFonts w:ascii="Arial" w:hAnsi="Arial" w:cs="Arial"/>
          <w:color w:val="000000" w:themeColor="text1"/>
          <w:sz w:val="22"/>
          <w:szCs w:val="22"/>
          <w:lang w:val="en-GB"/>
        </w:rPr>
        <w:t>4.2.2</w:t>
      </w:r>
      <w:r w:rsidRPr="00BE5F6F">
        <w:rPr>
          <w:rFonts w:ascii="Arial" w:hAnsi="Arial" w:cs="Arial"/>
          <w:color w:val="000000" w:themeColor="text1"/>
          <w:sz w:val="22"/>
          <w:szCs w:val="22"/>
          <w:lang w:val="en-GB"/>
        </w:rPr>
        <w:tab/>
      </w:r>
      <w:r w:rsidR="00631198" w:rsidRPr="00BE5F6F">
        <w:rPr>
          <w:rFonts w:ascii="Arial" w:hAnsi="Arial" w:cs="Arial"/>
          <w:color w:val="000000" w:themeColor="text1"/>
          <w:sz w:val="22"/>
          <w:szCs w:val="22"/>
          <w:lang w:val="en-GB"/>
        </w:rPr>
        <w:t>Adversarial nature of proceedings</w:t>
      </w:r>
      <w:bookmarkEnd w:id="27"/>
      <w:r w:rsidR="00674489" w:rsidRPr="00BE5F6F">
        <w:rPr>
          <w:rFonts w:ascii="Arial" w:hAnsi="Arial" w:cs="Arial"/>
          <w:color w:val="000000" w:themeColor="text1"/>
          <w:sz w:val="22"/>
          <w:szCs w:val="22"/>
          <w:lang w:val="en-GB"/>
        </w:rPr>
        <w:t xml:space="preserve"> before the Panel</w:t>
      </w:r>
    </w:p>
    <w:p w14:paraId="462A5224" w14:textId="72E03CE9" w:rsidR="00B540A6" w:rsidRPr="002E7169" w:rsidRDefault="00FC2A56" w:rsidP="002E7169">
      <w:pPr>
        <w:spacing w:line="360" w:lineRule="auto"/>
        <w:jc w:val="both"/>
        <w:rPr>
          <w:rFonts w:ascii="Arial" w:hAnsi="Arial" w:cs="Arial"/>
          <w:sz w:val="22"/>
          <w:szCs w:val="22"/>
          <w:lang w:val="en-GB"/>
        </w:rPr>
      </w:pPr>
      <w:r w:rsidRPr="002E7169">
        <w:rPr>
          <w:rFonts w:ascii="Arial" w:hAnsi="Arial" w:cs="Arial"/>
          <w:sz w:val="22"/>
          <w:szCs w:val="22"/>
          <w:lang w:val="en-GB"/>
        </w:rPr>
        <w:t>Proceedings before the Panel are adversarial in nature, in the sense of each party having the right in principle to comment upon the other party’s submissions.</w:t>
      </w:r>
      <w:r w:rsidRPr="002E7169">
        <w:rPr>
          <w:rStyle w:val="FootnoteReference"/>
          <w:rFonts w:ascii="Arial" w:hAnsi="Arial" w:cs="Arial"/>
          <w:sz w:val="22"/>
          <w:szCs w:val="22"/>
          <w:lang w:val="en-GB"/>
        </w:rPr>
        <w:footnoteReference w:id="86"/>
      </w:r>
      <w:r w:rsidRPr="002E7169">
        <w:rPr>
          <w:rFonts w:ascii="Arial" w:hAnsi="Arial" w:cs="Arial"/>
          <w:sz w:val="22"/>
          <w:szCs w:val="22"/>
          <w:lang w:val="en-GB"/>
        </w:rPr>
        <w:t xml:space="preserve"> </w:t>
      </w:r>
    </w:p>
    <w:p w14:paraId="36D1B389" w14:textId="77777777" w:rsidR="00FC2A56" w:rsidRPr="002E7169" w:rsidRDefault="00FC2A56" w:rsidP="002E7169">
      <w:pPr>
        <w:spacing w:line="360" w:lineRule="auto"/>
        <w:jc w:val="both"/>
        <w:rPr>
          <w:rFonts w:ascii="Arial" w:hAnsi="Arial" w:cs="Arial"/>
          <w:sz w:val="22"/>
          <w:szCs w:val="22"/>
          <w:lang w:val="en-GB"/>
        </w:rPr>
      </w:pPr>
    </w:p>
    <w:p w14:paraId="3548D544" w14:textId="43FBE8A8" w:rsidR="00B540A6" w:rsidRPr="002E7169" w:rsidRDefault="00FC2A56" w:rsidP="002E7169">
      <w:pPr>
        <w:spacing w:line="360" w:lineRule="auto"/>
        <w:jc w:val="both"/>
        <w:rPr>
          <w:rFonts w:ascii="Arial" w:hAnsi="Arial" w:cs="Arial"/>
          <w:sz w:val="22"/>
          <w:szCs w:val="22"/>
          <w:lang w:val="en-GB"/>
        </w:rPr>
      </w:pPr>
      <w:r w:rsidRPr="002E7169">
        <w:rPr>
          <w:rFonts w:ascii="Arial" w:hAnsi="Arial" w:cs="Arial"/>
          <w:sz w:val="22"/>
          <w:szCs w:val="22"/>
          <w:lang w:val="en-GB"/>
        </w:rPr>
        <w:t xml:space="preserve">The Panel has carved very narrow exceptions to that principle where particularly sensitive information had been provided by a party which requests non-disclosure to the other party. </w:t>
      </w:r>
      <w:r w:rsidR="0043409D" w:rsidRPr="002E7169">
        <w:rPr>
          <w:rFonts w:ascii="Arial" w:hAnsi="Arial" w:cs="Arial"/>
          <w:sz w:val="22"/>
          <w:szCs w:val="22"/>
          <w:lang w:val="en-GB"/>
        </w:rPr>
        <w:t>In those cases, the Panel has refrained from communicating certain information to the opposing party in the interests of justice. In doing so, it has weighed the interests at stake and ensured that the non-disclosure of information would not in any way prejudice the rights and position of the opposing party. Where possible, it has provided a summary or more generic information to the opposing party so as to ensure that each side possessed all relevant information.</w:t>
      </w:r>
      <w:r w:rsidR="006E472F">
        <w:rPr>
          <w:rFonts w:ascii="Arial" w:hAnsi="Arial" w:cs="Arial"/>
          <w:sz w:val="22"/>
          <w:szCs w:val="22"/>
          <w:lang w:val="en-GB"/>
        </w:rPr>
        <w:t xml:space="preserve"> In all cases, it has sought to ensure that no prejudice was caused to the opposing party and that the withholding of information did not affect the fairness of proceedings.</w:t>
      </w:r>
    </w:p>
    <w:p w14:paraId="23F70B78" w14:textId="77777777" w:rsidR="00A16339" w:rsidRPr="002E7169" w:rsidRDefault="00A16339" w:rsidP="002E7169">
      <w:pPr>
        <w:spacing w:line="360" w:lineRule="auto"/>
        <w:rPr>
          <w:rFonts w:ascii="Arial" w:hAnsi="Arial" w:cs="Arial"/>
          <w:sz w:val="22"/>
          <w:szCs w:val="22"/>
          <w:lang w:val="en-GB"/>
        </w:rPr>
      </w:pPr>
    </w:p>
    <w:p w14:paraId="577FBE2E" w14:textId="1825388D" w:rsidR="00A16339" w:rsidRPr="002E7169" w:rsidRDefault="00A16339" w:rsidP="002E7169">
      <w:pPr>
        <w:spacing w:line="360" w:lineRule="auto"/>
        <w:rPr>
          <w:rFonts w:ascii="Arial" w:hAnsi="Arial" w:cs="Arial"/>
          <w:sz w:val="22"/>
          <w:szCs w:val="22"/>
          <w:lang w:val="en-GB"/>
        </w:rPr>
      </w:pPr>
      <w:r w:rsidRPr="002E7169">
        <w:rPr>
          <w:rFonts w:ascii="Arial" w:hAnsi="Arial" w:cs="Arial"/>
          <w:sz w:val="22"/>
          <w:szCs w:val="22"/>
          <w:lang w:val="en-GB"/>
        </w:rPr>
        <w:t>In order to ensure the effective and timely advancement of its proceedings, the Panel will often set time-limits for the parties to provide information or submissions.</w:t>
      </w:r>
      <w:r w:rsidRPr="002E7169">
        <w:rPr>
          <w:rStyle w:val="FootnoteReference"/>
          <w:rFonts w:ascii="Arial" w:hAnsi="Arial" w:cs="Arial"/>
          <w:sz w:val="22"/>
          <w:szCs w:val="22"/>
          <w:lang w:val="en-GB"/>
        </w:rPr>
        <w:footnoteReference w:id="87"/>
      </w:r>
    </w:p>
    <w:p w14:paraId="29713683" w14:textId="77777777" w:rsidR="00B540A6" w:rsidRPr="002E7169" w:rsidRDefault="00B540A6" w:rsidP="002E7169">
      <w:pPr>
        <w:spacing w:line="360" w:lineRule="auto"/>
        <w:rPr>
          <w:rFonts w:ascii="Arial" w:hAnsi="Arial" w:cs="Arial"/>
          <w:sz w:val="22"/>
          <w:szCs w:val="22"/>
          <w:lang w:val="en-GB"/>
        </w:rPr>
      </w:pPr>
    </w:p>
    <w:p w14:paraId="58791485" w14:textId="2CE2BD15" w:rsidR="00B540A6" w:rsidRPr="00BE5F6F" w:rsidRDefault="00E74A41" w:rsidP="002E7169">
      <w:pPr>
        <w:pStyle w:val="Heading3"/>
        <w:spacing w:line="360" w:lineRule="auto"/>
        <w:ind w:firstLine="720"/>
        <w:rPr>
          <w:rFonts w:ascii="Arial" w:hAnsi="Arial" w:cs="Arial"/>
          <w:color w:val="000000" w:themeColor="text1"/>
          <w:sz w:val="22"/>
          <w:szCs w:val="22"/>
          <w:lang w:val="en-GB"/>
        </w:rPr>
      </w:pPr>
      <w:bookmarkStart w:id="28" w:name="_Toc496014038"/>
      <w:r w:rsidRPr="00BE5F6F">
        <w:rPr>
          <w:rFonts w:ascii="Arial" w:hAnsi="Arial" w:cs="Arial"/>
          <w:color w:val="000000" w:themeColor="text1"/>
          <w:sz w:val="22"/>
          <w:szCs w:val="22"/>
          <w:lang w:val="en-GB"/>
        </w:rPr>
        <w:t>4.2.3</w:t>
      </w:r>
      <w:r w:rsidRPr="00BE5F6F">
        <w:rPr>
          <w:rFonts w:ascii="Arial" w:hAnsi="Arial" w:cs="Arial"/>
          <w:color w:val="000000" w:themeColor="text1"/>
          <w:sz w:val="22"/>
          <w:szCs w:val="22"/>
          <w:lang w:val="en-GB"/>
        </w:rPr>
        <w:tab/>
      </w:r>
      <w:r w:rsidR="00631198" w:rsidRPr="00BE5F6F">
        <w:rPr>
          <w:rFonts w:ascii="Arial" w:hAnsi="Arial" w:cs="Arial"/>
          <w:color w:val="000000" w:themeColor="text1"/>
          <w:sz w:val="22"/>
          <w:szCs w:val="22"/>
          <w:lang w:val="en-GB"/>
        </w:rPr>
        <w:t xml:space="preserve">Panel sessions </w:t>
      </w:r>
      <w:r w:rsidR="00CF30E0" w:rsidRPr="00BE5F6F">
        <w:rPr>
          <w:rFonts w:ascii="Arial" w:hAnsi="Arial" w:cs="Arial"/>
          <w:color w:val="000000" w:themeColor="text1"/>
          <w:sz w:val="22"/>
          <w:szCs w:val="22"/>
          <w:lang w:val="en-GB"/>
        </w:rPr>
        <w:t>and voting</w:t>
      </w:r>
      <w:bookmarkEnd w:id="28"/>
      <w:r w:rsidR="00CF30E0" w:rsidRPr="00BE5F6F">
        <w:rPr>
          <w:rFonts w:ascii="Arial" w:hAnsi="Arial" w:cs="Arial"/>
          <w:color w:val="000000" w:themeColor="text1"/>
          <w:sz w:val="22"/>
          <w:szCs w:val="22"/>
          <w:lang w:val="en-GB"/>
        </w:rPr>
        <w:t xml:space="preserve"> </w:t>
      </w:r>
    </w:p>
    <w:p w14:paraId="36C902B1" w14:textId="0DC855DE" w:rsidR="00B540A6" w:rsidRPr="002E7169" w:rsidRDefault="00FC2A56" w:rsidP="002E7169">
      <w:pPr>
        <w:spacing w:line="360" w:lineRule="auto"/>
        <w:rPr>
          <w:rFonts w:ascii="Arial" w:hAnsi="Arial" w:cs="Arial"/>
          <w:sz w:val="22"/>
          <w:szCs w:val="22"/>
          <w:lang w:val="en-GB"/>
        </w:rPr>
      </w:pPr>
      <w:r w:rsidRPr="002E7169">
        <w:rPr>
          <w:rFonts w:ascii="Arial" w:hAnsi="Arial" w:cs="Arial"/>
          <w:sz w:val="22"/>
          <w:szCs w:val="22"/>
          <w:lang w:val="en-GB"/>
        </w:rPr>
        <w:t>With a view to conducting deliberations,</w:t>
      </w:r>
      <w:r w:rsidR="00434705" w:rsidRPr="002E7169">
        <w:rPr>
          <w:rStyle w:val="FootnoteReference"/>
          <w:rFonts w:ascii="Arial" w:hAnsi="Arial" w:cs="Arial"/>
          <w:sz w:val="22"/>
          <w:szCs w:val="22"/>
          <w:lang w:val="en-GB"/>
        </w:rPr>
        <w:footnoteReference w:id="88"/>
      </w:r>
      <w:r w:rsidRPr="002E7169">
        <w:rPr>
          <w:rFonts w:ascii="Arial" w:hAnsi="Arial" w:cs="Arial"/>
          <w:sz w:val="22"/>
          <w:szCs w:val="22"/>
          <w:lang w:val="en-GB"/>
        </w:rPr>
        <w:t xml:space="preserve"> the Panel organises regular (generally bi-monthly) sessions. During those sessions, deliberations take place between Panel members, draft decisions are finalised and voting takes place.</w:t>
      </w:r>
      <w:r w:rsidR="006E472F">
        <w:rPr>
          <w:rFonts w:ascii="Arial" w:hAnsi="Arial" w:cs="Arial"/>
          <w:sz w:val="22"/>
          <w:szCs w:val="22"/>
          <w:lang w:val="en-GB"/>
        </w:rPr>
        <w:t xml:space="preserve"> Most sessions take place in person. On a limited number of occasions, the Panel has made use of the possibility of holding deliberations by electronic means.</w:t>
      </w:r>
      <w:r w:rsidR="006E472F">
        <w:rPr>
          <w:rStyle w:val="FootnoteReference"/>
          <w:rFonts w:ascii="Arial" w:hAnsi="Arial" w:cs="Arial"/>
          <w:sz w:val="22"/>
          <w:szCs w:val="22"/>
          <w:lang w:val="en-GB"/>
        </w:rPr>
        <w:footnoteReference w:id="89"/>
      </w:r>
    </w:p>
    <w:p w14:paraId="49B73E8F" w14:textId="77777777" w:rsidR="00FC2A56" w:rsidRPr="002E7169" w:rsidRDefault="00FC2A56" w:rsidP="002E7169">
      <w:pPr>
        <w:spacing w:line="360" w:lineRule="auto"/>
        <w:rPr>
          <w:rFonts w:ascii="Arial" w:hAnsi="Arial" w:cs="Arial"/>
          <w:sz w:val="22"/>
          <w:szCs w:val="22"/>
          <w:lang w:val="en-GB"/>
        </w:rPr>
      </w:pPr>
    </w:p>
    <w:p w14:paraId="5158B49E" w14:textId="3B640277" w:rsidR="006F3888" w:rsidRPr="002E7169" w:rsidRDefault="006F3888" w:rsidP="002E7169">
      <w:pPr>
        <w:spacing w:line="360" w:lineRule="auto"/>
        <w:rPr>
          <w:rFonts w:ascii="Arial" w:hAnsi="Arial" w:cs="Arial"/>
          <w:sz w:val="22"/>
          <w:szCs w:val="22"/>
          <w:lang w:val="en-GB"/>
        </w:rPr>
      </w:pPr>
      <w:r w:rsidRPr="002E7169">
        <w:rPr>
          <w:rFonts w:ascii="Arial" w:hAnsi="Arial" w:cs="Arial"/>
          <w:sz w:val="22"/>
          <w:szCs w:val="22"/>
          <w:lang w:val="en-GB"/>
        </w:rPr>
        <w:lastRenderedPageBreak/>
        <w:t>Decisions of the Panel are taken by majority.</w:t>
      </w:r>
      <w:r w:rsidRPr="002E7169">
        <w:rPr>
          <w:rStyle w:val="FootnoteReference"/>
          <w:rFonts w:ascii="Arial" w:hAnsi="Arial" w:cs="Arial"/>
          <w:sz w:val="22"/>
          <w:szCs w:val="22"/>
          <w:lang w:val="en-GB"/>
        </w:rPr>
        <w:footnoteReference w:id="90"/>
      </w:r>
      <w:r w:rsidRPr="002E7169">
        <w:rPr>
          <w:rFonts w:ascii="Arial" w:hAnsi="Arial" w:cs="Arial"/>
          <w:sz w:val="22"/>
          <w:szCs w:val="22"/>
          <w:lang w:val="en-GB"/>
        </w:rPr>
        <w:t xml:space="preserve"> The Panel has not made use of the possibility of individual opinions. </w:t>
      </w:r>
    </w:p>
    <w:p w14:paraId="0FC3C73B" w14:textId="77777777" w:rsidR="00A05577" w:rsidRPr="002E7169" w:rsidRDefault="00A05577" w:rsidP="002E7169">
      <w:pPr>
        <w:spacing w:line="360" w:lineRule="auto"/>
        <w:rPr>
          <w:rFonts w:ascii="Arial" w:hAnsi="Arial" w:cs="Arial"/>
          <w:sz w:val="22"/>
          <w:szCs w:val="22"/>
          <w:lang w:val="en-GB"/>
        </w:rPr>
      </w:pPr>
    </w:p>
    <w:p w14:paraId="7C5AB733" w14:textId="117C86E7" w:rsidR="0004457D" w:rsidRPr="00BE5F6F" w:rsidRDefault="00E74A41" w:rsidP="002E7169">
      <w:pPr>
        <w:pStyle w:val="Heading3"/>
        <w:spacing w:line="360" w:lineRule="auto"/>
        <w:ind w:firstLine="720"/>
        <w:rPr>
          <w:rFonts w:ascii="Arial" w:hAnsi="Arial" w:cs="Arial"/>
          <w:color w:val="000000" w:themeColor="text1"/>
          <w:sz w:val="22"/>
          <w:szCs w:val="22"/>
          <w:lang w:val="en-GB"/>
        </w:rPr>
      </w:pPr>
      <w:bookmarkStart w:id="29" w:name="_Toc496014039"/>
      <w:r w:rsidRPr="00BE5F6F">
        <w:rPr>
          <w:rFonts w:ascii="Arial" w:hAnsi="Arial" w:cs="Arial"/>
          <w:color w:val="000000" w:themeColor="text1"/>
          <w:sz w:val="22"/>
          <w:szCs w:val="22"/>
          <w:lang w:val="en-GB"/>
        </w:rPr>
        <w:t>4.2.4</w:t>
      </w:r>
      <w:r w:rsidRPr="00BE5F6F">
        <w:rPr>
          <w:rFonts w:ascii="Arial" w:hAnsi="Arial" w:cs="Arial"/>
          <w:color w:val="000000" w:themeColor="text1"/>
          <w:sz w:val="22"/>
          <w:szCs w:val="22"/>
          <w:lang w:val="en-GB"/>
        </w:rPr>
        <w:tab/>
      </w:r>
      <w:r w:rsidR="00292BB8" w:rsidRPr="00BE5F6F">
        <w:rPr>
          <w:rFonts w:ascii="Arial" w:hAnsi="Arial" w:cs="Arial"/>
          <w:color w:val="000000" w:themeColor="text1"/>
          <w:sz w:val="22"/>
          <w:szCs w:val="22"/>
          <w:lang w:val="en-GB"/>
        </w:rPr>
        <w:t>Decision on admissibility</w:t>
      </w:r>
      <w:bookmarkEnd w:id="29"/>
      <w:r w:rsidR="00292BB8" w:rsidRPr="00BE5F6F">
        <w:rPr>
          <w:rFonts w:ascii="Arial" w:hAnsi="Arial" w:cs="Arial"/>
          <w:color w:val="000000" w:themeColor="text1"/>
          <w:sz w:val="22"/>
          <w:szCs w:val="22"/>
          <w:lang w:val="en-GB"/>
        </w:rPr>
        <w:t xml:space="preserve"> </w:t>
      </w:r>
    </w:p>
    <w:p w14:paraId="33495D5A" w14:textId="731F5A38" w:rsidR="00292BB8" w:rsidRPr="002E7169" w:rsidRDefault="00292BB8" w:rsidP="002E7169">
      <w:pPr>
        <w:spacing w:line="360" w:lineRule="auto"/>
        <w:jc w:val="both"/>
        <w:rPr>
          <w:rFonts w:ascii="Arial" w:hAnsi="Arial" w:cs="Arial"/>
          <w:sz w:val="22"/>
          <w:szCs w:val="22"/>
          <w:lang w:val="en-GB"/>
        </w:rPr>
      </w:pPr>
      <w:r w:rsidRPr="002E7169">
        <w:rPr>
          <w:rFonts w:ascii="Arial" w:hAnsi="Arial" w:cs="Arial"/>
          <w:sz w:val="22"/>
          <w:szCs w:val="22"/>
          <w:lang w:val="en-GB"/>
        </w:rPr>
        <w:t xml:space="preserve">Where the Panel (unanimously or by majority) declares a complaint admissible (in whole or in part), it renders a written decision to that effect in accordance with Rule 32. </w:t>
      </w:r>
      <w:r w:rsidR="00D30306" w:rsidRPr="002E7169">
        <w:rPr>
          <w:rFonts w:ascii="Arial" w:hAnsi="Arial" w:cs="Arial"/>
          <w:sz w:val="22"/>
          <w:szCs w:val="22"/>
          <w:lang w:val="en-GB"/>
        </w:rPr>
        <w:t>The Panel’s findings are then communicated to the parties. The parties will then generally be invited to make further submissions on the merits (if that was not already done) or to answer particular questions raised by the Panel in its admissibility decision.</w:t>
      </w:r>
      <w:r w:rsidR="00D30306" w:rsidRPr="002E7169">
        <w:rPr>
          <w:rStyle w:val="FootnoteReference"/>
          <w:rFonts w:ascii="Arial" w:hAnsi="Arial" w:cs="Arial"/>
          <w:sz w:val="22"/>
          <w:szCs w:val="22"/>
          <w:lang w:val="en-GB"/>
        </w:rPr>
        <w:footnoteReference w:id="91"/>
      </w:r>
      <w:r w:rsidR="00D30306" w:rsidRPr="002E7169">
        <w:rPr>
          <w:rFonts w:ascii="Arial" w:hAnsi="Arial" w:cs="Arial"/>
          <w:sz w:val="22"/>
          <w:szCs w:val="22"/>
          <w:lang w:val="en-GB"/>
        </w:rPr>
        <w:t xml:space="preserve"> A re-examination of an admissibility decision is procedurally possible in accordance with Rule 42 of the Panel’s Rules of Procedure. </w:t>
      </w:r>
    </w:p>
    <w:p w14:paraId="2A4CE3E3" w14:textId="77777777" w:rsidR="00292BB8" w:rsidRPr="002E7169" w:rsidRDefault="00292BB8" w:rsidP="002E7169">
      <w:pPr>
        <w:spacing w:line="360" w:lineRule="auto"/>
        <w:jc w:val="both"/>
        <w:rPr>
          <w:rFonts w:ascii="Arial" w:hAnsi="Arial" w:cs="Arial"/>
          <w:sz w:val="22"/>
          <w:szCs w:val="22"/>
          <w:lang w:val="en-GB"/>
        </w:rPr>
      </w:pPr>
    </w:p>
    <w:p w14:paraId="09B2A59F" w14:textId="6719621D" w:rsidR="00292BB8" w:rsidRPr="002E7169" w:rsidRDefault="00292BB8" w:rsidP="002E7169">
      <w:pPr>
        <w:spacing w:line="360" w:lineRule="auto"/>
        <w:jc w:val="both"/>
        <w:rPr>
          <w:rFonts w:ascii="Arial" w:hAnsi="Arial" w:cs="Arial"/>
          <w:sz w:val="22"/>
          <w:szCs w:val="22"/>
          <w:lang w:val="en-GB"/>
        </w:rPr>
      </w:pPr>
      <w:r w:rsidRPr="002E7169">
        <w:rPr>
          <w:rFonts w:ascii="Arial" w:hAnsi="Arial" w:cs="Arial"/>
          <w:sz w:val="22"/>
          <w:szCs w:val="22"/>
          <w:lang w:val="en-GB"/>
        </w:rPr>
        <w:t>On a number of limited occasions and where it was able to do so without prejudice to the parties, the Panel has rendered its decision on admissibility and on the merits at the same time.</w:t>
      </w:r>
    </w:p>
    <w:p w14:paraId="0DFAD3C6" w14:textId="77777777" w:rsidR="00292BB8" w:rsidRPr="002E7169" w:rsidRDefault="00292BB8" w:rsidP="002E7169">
      <w:pPr>
        <w:spacing w:line="360" w:lineRule="auto"/>
        <w:jc w:val="both"/>
        <w:rPr>
          <w:rFonts w:ascii="Arial" w:hAnsi="Arial" w:cs="Arial"/>
          <w:sz w:val="22"/>
          <w:szCs w:val="22"/>
          <w:lang w:val="en-GB"/>
        </w:rPr>
      </w:pPr>
    </w:p>
    <w:p w14:paraId="0D20F206" w14:textId="3BB468B1" w:rsidR="00E46DB4" w:rsidRPr="002E7169" w:rsidRDefault="00E46DB4" w:rsidP="002E7169">
      <w:pPr>
        <w:spacing w:line="360" w:lineRule="auto"/>
        <w:rPr>
          <w:rFonts w:ascii="Arial" w:hAnsi="Arial" w:cs="Arial"/>
          <w:sz w:val="22"/>
          <w:szCs w:val="22"/>
          <w:lang w:val="en-GB"/>
        </w:rPr>
      </w:pPr>
    </w:p>
    <w:sectPr w:rsidR="00E46DB4" w:rsidRPr="002E7169" w:rsidSect="000F25B2">
      <w:footerReference w:type="even" r:id="rId10"/>
      <w:footerReference w:type="default" r:id="rId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EFBCC" w14:textId="77777777" w:rsidR="00D850AC" w:rsidRDefault="00D850AC" w:rsidP="00F86BBF">
      <w:r>
        <w:separator/>
      </w:r>
    </w:p>
  </w:endnote>
  <w:endnote w:type="continuationSeparator" w:id="0">
    <w:p w14:paraId="14EFCF94" w14:textId="77777777" w:rsidR="00D850AC" w:rsidRDefault="00D850AC" w:rsidP="00F86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9BB20" w14:textId="77777777" w:rsidR="002956E1" w:rsidRDefault="002956E1" w:rsidP="000135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06EF5E" w14:textId="77777777" w:rsidR="002956E1" w:rsidRDefault="002956E1" w:rsidP="000135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DCD40" w14:textId="77777777" w:rsidR="002956E1" w:rsidRDefault="002956E1" w:rsidP="000135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EE50000" w14:textId="77777777" w:rsidR="002956E1" w:rsidRDefault="002956E1" w:rsidP="000135B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50E65" w14:textId="77777777" w:rsidR="00D850AC" w:rsidRDefault="00D850AC" w:rsidP="00F86BBF">
      <w:r>
        <w:separator/>
      </w:r>
    </w:p>
  </w:footnote>
  <w:footnote w:type="continuationSeparator" w:id="0">
    <w:p w14:paraId="03F2F80E" w14:textId="77777777" w:rsidR="00D850AC" w:rsidRDefault="00D850AC" w:rsidP="00F86BBF">
      <w:r>
        <w:continuationSeparator/>
      </w:r>
    </w:p>
  </w:footnote>
  <w:footnote w:id="1">
    <w:p w14:paraId="781BD122" w14:textId="5A29094C" w:rsidR="00A07ED0" w:rsidRPr="00BE5F6F" w:rsidRDefault="00A07ED0" w:rsidP="00BE5F6F">
      <w:pPr>
        <w:pStyle w:val="FootnoteText"/>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See, generally, </w:t>
      </w:r>
      <w:r w:rsidRPr="00BE5F6F">
        <w:rPr>
          <w:rFonts w:ascii="Arial" w:hAnsi="Arial" w:cs="Arial"/>
          <w:i/>
          <w:sz w:val="20"/>
          <w:szCs w:val="20"/>
        </w:rPr>
        <w:t>Rajovic against EULEX</w:t>
      </w:r>
      <w:r w:rsidRPr="00BE5F6F">
        <w:rPr>
          <w:rFonts w:ascii="Arial" w:hAnsi="Arial" w:cs="Arial"/>
          <w:sz w:val="20"/>
          <w:szCs w:val="20"/>
        </w:rPr>
        <w:t xml:space="preserve">, Inadmissibility Decision, 9 April 2014, par 13; ; I against EULEX, Inadmissibility Decision, 27 November 2013, par 10; </w:t>
      </w:r>
      <w:r w:rsidRPr="00BE5F6F">
        <w:rPr>
          <w:rFonts w:ascii="Arial" w:hAnsi="Arial" w:cs="Arial"/>
          <w:i/>
          <w:sz w:val="20"/>
          <w:szCs w:val="20"/>
        </w:rPr>
        <w:t>Pajaziti against EULEX</w:t>
      </w:r>
      <w:r w:rsidRPr="00BE5F6F">
        <w:rPr>
          <w:rFonts w:ascii="Arial" w:hAnsi="Arial" w:cs="Arial"/>
          <w:sz w:val="20"/>
          <w:szCs w:val="20"/>
        </w:rPr>
        <w:t xml:space="preserve">, 4 October 2012, par 9; </w:t>
      </w:r>
      <w:r w:rsidRPr="00BE5F6F">
        <w:rPr>
          <w:rFonts w:ascii="Arial" w:hAnsi="Arial" w:cs="Arial"/>
          <w:i/>
          <w:sz w:val="20"/>
          <w:szCs w:val="20"/>
        </w:rPr>
        <w:t>Zeka against EULEX</w:t>
      </w:r>
      <w:r w:rsidRPr="00BE5F6F">
        <w:rPr>
          <w:rFonts w:ascii="Arial" w:hAnsi="Arial" w:cs="Arial"/>
          <w:sz w:val="20"/>
          <w:szCs w:val="20"/>
        </w:rPr>
        <w:t xml:space="preserve">, 4 October 2012, par 21; </w:t>
      </w:r>
      <w:r w:rsidRPr="00BE5F6F">
        <w:rPr>
          <w:rFonts w:ascii="Arial" w:hAnsi="Arial" w:cs="Arial"/>
          <w:i/>
          <w:sz w:val="20"/>
          <w:szCs w:val="20"/>
        </w:rPr>
        <w:t>Rexhepi against EULEX</w:t>
      </w:r>
      <w:r w:rsidRPr="00BE5F6F">
        <w:rPr>
          <w:rFonts w:ascii="Arial" w:hAnsi="Arial" w:cs="Arial"/>
          <w:sz w:val="20"/>
          <w:szCs w:val="20"/>
        </w:rPr>
        <w:t xml:space="preserve">, 20 March 2012, par 36; </w:t>
      </w:r>
      <w:r w:rsidRPr="00BE5F6F">
        <w:rPr>
          <w:rFonts w:ascii="Arial" w:hAnsi="Arial" w:cs="Arial"/>
          <w:i/>
          <w:sz w:val="20"/>
          <w:szCs w:val="20"/>
        </w:rPr>
        <w:t>Sharku against EULEX</w:t>
      </w:r>
      <w:r w:rsidRPr="00BE5F6F">
        <w:rPr>
          <w:rFonts w:ascii="Arial" w:hAnsi="Arial" w:cs="Arial"/>
          <w:sz w:val="20"/>
          <w:szCs w:val="20"/>
        </w:rPr>
        <w:t xml:space="preserve">, 20 March 2012, par 18; </w:t>
      </w:r>
      <w:r w:rsidRPr="00BE5F6F">
        <w:rPr>
          <w:rFonts w:ascii="Arial" w:hAnsi="Arial" w:cs="Arial"/>
          <w:i/>
          <w:sz w:val="20"/>
          <w:szCs w:val="20"/>
        </w:rPr>
        <w:t>Gashi against EULEX</w:t>
      </w:r>
      <w:r w:rsidRPr="00BE5F6F">
        <w:rPr>
          <w:rFonts w:ascii="Arial" w:hAnsi="Arial" w:cs="Arial"/>
          <w:sz w:val="20"/>
          <w:szCs w:val="20"/>
        </w:rPr>
        <w:t xml:space="preserve"> 23 November 2011, par 12; </w:t>
      </w:r>
      <w:r w:rsidRPr="00BE5F6F">
        <w:rPr>
          <w:rFonts w:ascii="Arial" w:hAnsi="Arial" w:cs="Arial"/>
          <w:i/>
          <w:sz w:val="20"/>
          <w:szCs w:val="20"/>
        </w:rPr>
        <w:t>Rruka against EULEX</w:t>
      </w:r>
      <w:r w:rsidRPr="00BE5F6F">
        <w:rPr>
          <w:rFonts w:ascii="Arial" w:hAnsi="Arial" w:cs="Arial"/>
          <w:sz w:val="20"/>
          <w:szCs w:val="20"/>
        </w:rPr>
        <w:t xml:space="preserve">, 14 September 2011, par 10; </w:t>
      </w:r>
      <w:r w:rsidRPr="00BE5F6F">
        <w:rPr>
          <w:rFonts w:ascii="Arial" w:hAnsi="Arial" w:cs="Arial"/>
          <w:i/>
          <w:sz w:val="20"/>
          <w:szCs w:val="20"/>
        </w:rPr>
        <w:t>Thaqi against EULEX</w:t>
      </w:r>
      <w:r w:rsidRPr="00BE5F6F">
        <w:rPr>
          <w:rFonts w:ascii="Arial" w:hAnsi="Arial" w:cs="Arial"/>
          <w:sz w:val="20"/>
          <w:szCs w:val="20"/>
        </w:rPr>
        <w:t>, 14 September 2011, par 53</w:t>
      </w:r>
      <w:r w:rsidR="007B54BF" w:rsidRPr="00BE5F6F">
        <w:rPr>
          <w:rFonts w:ascii="Arial" w:hAnsi="Arial" w:cs="Arial"/>
          <w:sz w:val="20"/>
          <w:szCs w:val="20"/>
        </w:rPr>
        <w:t xml:space="preserve">; </w:t>
      </w:r>
      <w:r w:rsidR="007B54BF" w:rsidRPr="00BE5F6F">
        <w:rPr>
          <w:rFonts w:ascii="Arial" w:hAnsi="Arial" w:cs="Arial"/>
          <w:i/>
          <w:sz w:val="20"/>
          <w:szCs w:val="20"/>
        </w:rPr>
        <w:t>Sokoli against EULEX</w:t>
      </w:r>
      <w:r w:rsidR="007B54BF" w:rsidRPr="00BE5F6F">
        <w:rPr>
          <w:rFonts w:ascii="Arial" w:hAnsi="Arial" w:cs="Arial"/>
          <w:sz w:val="20"/>
          <w:szCs w:val="20"/>
        </w:rPr>
        <w:t>, 9 January 2017, par 19</w:t>
      </w:r>
      <w:r w:rsidRPr="00BE5F6F">
        <w:rPr>
          <w:rFonts w:ascii="Arial" w:hAnsi="Arial" w:cs="Arial"/>
          <w:sz w:val="20"/>
          <w:szCs w:val="20"/>
        </w:rPr>
        <w:t xml:space="preserve">. </w:t>
      </w:r>
    </w:p>
  </w:footnote>
  <w:footnote w:id="2">
    <w:p w14:paraId="2492DF07" w14:textId="7B007C97" w:rsidR="002956E1" w:rsidRPr="00BE5F6F" w:rsidRDefault="002956E1" w:rsidP="00BE5F6F">
      <w:pPr>
        <w:pStyle w:val="FootnoteText"/>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See, e.g., </w:t>
      </w:r>
      <w:r w:rsidR="00A07ED0" w:rsidRPr="00BE5F6F">
        <w:rPr>
          <w:rFonts w:ascii="Arial" w:hAnsi="Arial" w:cs="Arial"/>
          <w:i/>
          <w:sz w:val="20"/>
          <w:szCs w:val="20"/>
        </w:rPr>
        <w:t>Axhemi Zydhi</w:t>
      </w:r>
      <w:r w:rsidR="00BE5F6F" w:rsidRPr="00BE5F6F">
        <w:rPr>
          <w:rFonts w:ascii="Arial" w:hAnsi="Arial" w:cs="Arial"/>
          <w:i/>
          <w:sz w:val="20"/>
          <w:szCs w:val="20"/>
        </w:rPr>
        <w:t xml:space="preserve"> against EULEX</w:t>
      </w:r>
      <w:r w:rsidR="00A07ED0" w:rsidRPr="00BE5F6F">
        <w:rPr>
          <w:rFonts w:ascii="Arial" w:hAnsi="Arial" w:cs="Arial"/>
          <w:sz w:val="20"/>
          <w:szCs w:val="20"/>
        </w:rPr>
        <w:t xml:space="preserve">, 17 October 2017, par 12; </w:t>
      </w:r>
      <w:r w:rsidR="00A07ED0" w:rsidRPr="00BE5F6F">
        <w:rPr>
          <w:rFonts w:ascii="Arial" w:hAnsi="Arial" w:cs="Arial"/>
          <w:i/>
          <w:sz w:val="20"/>
          <w:szCs w:val="20"/>
        </w:rPr>
        <w:t>Uka against EULEX</w:t>
      </w:r>
      <w:r w:rsidR="00A07ED0" w:rsidRPr="00BE5F6F">
        <w:rPr>
          <w:rFonts w:ascii="Arial" w:hAnsi="Arial" w:cs="Arial"/>
          <w:sz w:val="20"/>
          <w:szCs w:val="20"/>
        </w:rPr>
        <w:t>, 17 October 2017, par 18</w:t>
      </w:r>
      <w:r w:rsidRPr="00BE5F6F">
        <w:rPr>
          <w:rFonts w:ascii="Arial" w:hAnsi="Arial" w:cs="Arial"/>
          <w:sz w:val="20"/>
          <w:szCs w:val="20"/>
        </w:rPr>
        <w:t>;</w:t>
      </w:r>
      <w:r w:rsidR="00A07ED0" w:rsidRPr="00BE5F6F">
        <w:rPr>
          <w:rFonts w:ascii="Arial" w:hAnsi="Arial" w:cs="Arial"/>
          <w:sz w:val="20"/>
          <w:szCs w:val="20"/>
        </w:rPr>
        <w:t xml:space="preserve"> </w:t>
      </w:r>
      <w:r w:rsidR="00A07ED0" w:rsidRPr="00BE5F6F">
        <w:rPr>
          <w:rFonts w:ascii="Arial" w:hAnsi="Arial" w:cs="Arial"/>
          <w:i/>
          <w:sz w:val="20"/>
          <w:szCs w:val="20"/>
        </w:rPr>
        <w:t>Qela against EULEX</w:t>
      </w:r>
      <w:r w:rsidR="00A07ED0" w:rsidRPr="00BE5F6F">
        <w:rPr>
          <w:rFonts w:ascii="Arial" w:hAnsi="Arial" w:cs="Arial"/>
          <w:sz w:val="20"/>
          <w:szCs w:val="20"/>
        </w:rPr>
        <w:t>, 17 October 2017, par 9;</w:t>
      </w:r>
      <w:r w:rsidRPr="00BE5F6F">
        <w:rPr>
          <w:rFonts w:ascii="Arial" w:hAnsi="Arial" w:cs="Arial"/>
          <w:sz w:val="20"/>
          <w:szCs w:val="20"/>
        </w:rPr>
        <w:t xml:space="preserve"> </w:t>
      </w:r>
      <w:r w:rsidRPr="00BE5F6F">
        <w:rPr>
          <w:rFonts w:ascii="Arial" w:hAnsi="Arial" w:cs="Arial"/>
          <w:i/>
          <w:sz w:val="20"/>
          <w:szCs w:val="20"/>
        </w:rPr>
        <w:t>Rajovic against EULEX</w:t>
      </w:r>
      <w:r w:rsidRPr="00BE5F6F">
        <w:rPr>
          <w:rFonts w:ascii="Arial" w:hAnsi="Arial" w:cs="Arial"/>
          <w:sz w:val="20"/>
          <w:szCs w:val="20"/>
        </w:rPr>
        <w:t xml:space="preserve">, Inadmissibility Decision, 9 April 2014, par 13; </w:t>
      </w:r>
      <w:r w:rsidRPr="00BE5F6F">
        <w:rPr>
          <w:rFonts w:ascii="Arial" w:hAnsi="Arial" w:cs="Arial"/>
          <w:i/>
          <w:sz w:val="20"/>
          <w:szCs w:val="20"/>
        </w:rPr>
        <w:t>I against EULEX</w:t>
      </w:r>
      <w:r w:rsidRPr="00BE5F6F">
        <w:rPr>
          <w:rFonts w:ascii="Arial" w:hAnsi="Arial" w:cs="Arial"/>
          <w:sz w:val="20"/>
          <w:szCs w:val="20"/>
        </w:rPr>
        <w:t xml:space="preserve">, Inadmissibility Decision, 27 November 2013, par 10. </w:t>
      </w:r>
    </w:p>
  </w:footnote>
  <w:footnote w:id="3">
    <w:p w14:paraId="5AA7A759" w14:textId="7F5CB912" w:rsidR="00F22058" w:rsidRPr="00BE5F6F" w:rsidRDefault="002956E1" w:rsidP="00BE5F6F">
      <w:pPr>
        <w:pStyle w:val="FootnoteText"/>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w:t>
      </w:r>
      <w:r w:rsidR="00F22058" w:rsidRPr="00BE5F6F">
        <w:rPr>
          <w:rFonts w:ascii="Arial" w:hAnsi="Arial" w:cs="Arial"/>
          <w:sz w:val="20"/>
          <w:szCs w:val="20"/>
        </w:rPr>
        <w:t xml:space="preserve">See, e.g., </w:t>
      </w:r>
      <w:r w:rsidR="00F22058" w:rsidRPr="00BE5F6F">
        <w:rPr>
          <w:rFonts w:ascii="Arial" w:hAnsi="Arial" w:cs="Arial"/>
          <w:bCs/>
          <w:i/>
          <w:sz w:val="20"/>
          <w:szCs w:val="20"/>
          <w:lang w:val="en-GB"/>
        </w:rPr>
        <w:t>D.W., E.V., F.U., G.T., Zlata Veselinović, H.S., I.R. against EULEX</w:t>
      </w:r>
      <w:r w:rsidR="00F22058" w:rsidRPr="00BE5F6F">
        <w:rPr>
          <w:rFonts w:ascii="Arial" w:hAnsi="Arial" w:cs="Arial"/>
          <w:bCs/>
          <w:sz w:val="20"/>
          <w:szCs w:val="20"/>
          <w:lang w:val="en-GB"/>
        </w:rPr>
        <w:t>, 30 September 2015</w:t>
      </w:r>
      <w:r w:rsidR="00DB1566" w:rsidRPr="00BE5F6F">
        <w:rPr>
          <w:rFonts w:ascii="Arial" w:hAnsi="Arial" w:cs="Arial"/>
          <w:bCs/>
          <w:sz w:val="20"/>
          <w:szCs w:val="20"/>
          <w:lang w:val="en-GB"/>
        </w:rPr>
        <w:t xml:space="preserve">; </w:t>
      </w:r>
      <w:r w:rsidR="00DB1566" w:rsidRPr="00BE5F6F">
        <w:rPr>
          <w:rFonts w:ascii="Arial" w:hAnsi="Arial" w:cs="Arial"/>
          <w:bCs/>
          <w:i/>
          <w:sz w:val="20"/>
          <w:szCs w:val="20"/>
          <w:lang w:val="en-GB"/>
        </w:rPr>
        <w:t>Fanaj against EULEX</w:t>
      </w:r>
      <w:r w:rsidR="00DB1566" w:rsidRPr="00BE5F6F">
        <w:rPr>
          <w:rFonts w:ascii="Arial" w:hAnsi="Arial" w:cs="Arial"/>
          <w:bCs/>
          <w:sz w:val="20"/>
          <w:szCs w:val="20"/>
          <w:lang w:val="en-GB"/>
        </w:rPr>
        <w:t xml:space="preserve">, 14 September 2011. </w:t>
      </w:r>
    </w:p>
  </w:footnote>
  <w:footnote w:id="4">
    <w:p w14:paraId="7933F856" w14:textId="1F01559B" w:rsidR="002956E1" w:rsidRPr="00BE5F6F" w:rsidRDefault="002956E1" w:rsidP="00BE5F6F">
      <w:pPr>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w:t>
      </w:r>
      <w:r w:rsidR="007B54BF" w:rsidRPr="00BE5F6F">
        <w:rPr>
          <w:rFonts w:ascii="Arial" w:hAnsi="Arial" w:cs="Arial"/>
          <w:i/>
          <w:sz w:val="20"/>
          <w:szCs w:val="20"/>
        </w:rPr>
        <w:t>H &amp; G against EULEX</w:t>
      </w:r>
      <w:r w:rsidR="007B54BF" w:rsidRPr="00BE5F6F">
        <w:rPr>
          <w:rFonts w:ascii="Arial" w:hAnsi="Arial" w:cs="Arial"/>
          <w:sz w:val="20"/>
          <w:szCs w:val="20"/>
        </w:rPr>
        <w:t xml:space="preserve">, 2012-19 &amp; 2012-20, 30 September 2013 </w:t>
      </w:r>
      <w:r w:rsidR="00DB1566" w:rsidRPr="00BE5F6F">
        <w:rPr>
          <w:rFonts w:ascii="Arial" w:hAnsi="Arial" w:cs="Arial"/>
          <w:sz w:val="20"/>
          <w:szCs w:val="20"/>
        </w:rPr>
        <w:t xml:space="preserve">(where the Panel did not consider the actions attributed to the Kosovo police, but only failures and omissions attributed to the Mission in response to these); </w:t>
      </w:r>
      <w:r w:rsidR="00926860" w:rsidRPr="00BE5F6F">
        <w:rPr>
          <w:rFonts w:ascii="Arial" w:hAnsi="Arial" w:cs="Arial"/>
          <w:i/>
          <w:sz w:val="20"/>
          <w:szCs w:val="20"/>
        </w:rPr>
        <w:t>Maloku against EULEX</w:t>
      </w:r>
      <w:r w:rsidR="00926860" w:rsidRPr="00BE5F6F">
        <w:rPr>
          <w:rFonts w:ascii="Arial" w:hAnsi="Arial" w:cs="Arial"/>
          <w:sz w:val="20"/>
          <w:szCs w:val="20"/>
        </w:rPr>
        <w:t xml:space="preserve">, </w:t>
      </w:r>
      <w:r w:rsidR="00AE49C2" w:rsidRPr="00BE5F6F">
        <w:rPr>
          <w:rFonts w:ascii="Arial" w:hAnsi="Arial" w:cs="Arial"/>
          <w:sz w:val="20"/>
          <w:szCs w:val="20"/>
        </w:rPr>
        <w:t>19 January 2017</w:t>
      </w:r>
      <w:r w:rsidR="00DB1566" w:rsidRPr="00BE5F6F">
        <w:rPr>
          <w:rFonts w:ascii="Arial" w:hAnsi="Arial" w:cs="Arial"/>
          <w:sz w:val="20"/>
          <w:szCs w:val="20"/>
        </w:rPr>
        <w:t xml:space="preserve"> (to the same effect</w:t>
      </w:r>
      <w:r w:rsidR="007B54BF" w:rsidRPr="00BE5F6F">
        <w:rPr>
          <w:rFonts w:ascii="Arial" w:hAnsi="Arial" w:cs="Arial"/>
          <w:sz w:val="20"/>
          <w:szCs w:val="20"/>
        </w:rPr>
        <w:t>, regarding acts of violence attributed to the Kosovo police</w:t>
      </w:r>
      <w:r w:rsidR="00DB1566" w:rsidRPr="00BE5F6F">
        <w:rPr>
          <w:rFonts w:ascii="Arial" w:hAnsi="Arial" w:cs="Arial"/>
          <w:sz w:val="20"/>
          <w:szCs w:val="20"/>
        </w:rPr>
        <w:t>)</w:t>
      </w:r>
      <w:r w:rsidR="007B54BF" w:rsidRPr="00BE5F6F">
        <w:rPr>
          <w:rFonts w:ascii="Arial" w:hAnsi="Arial" w:cs="Arial"/>
          <w:sz w:val="20"/>
          <w:szCs w:val="20"/>
        </w:rPr>
        <w:t xml:space="preserve">; </w:t>
      </w:r>
      <w:r w:rsidR="007B54BF" w:rsidRPr="00BE5F6F">
        <w:rPr>
          <w:rFonts w:ascii="Arial" w:hAnsi="Arial" w:cs="Arial"/>
          <w:i/>
          <w:sz w:val="20"/>
          <w:szCs w:val="20"/>
        </w:rPr>
        <w:t>Sokoli against EULEX</w:t>
      </w:r>
      <w:r w:rsidR="007B54BF" w:rsidRPr="00BE5F6F">
        <w:rPr>
          <w:rFonts w:ascii="Arial" w:hAnsi="Arial" w:cs="Arial"/>
          <w:sz w:val="20"/>
          <w:szCs w:val="20"/>
        </w:rPr>
        <w:t>, 9 January 2017 (regarding an investigation conducted by both EULEX and local police, only the former being relevant to the Panel’s competence)</w:t>
      </w:r>
      <w:r w:rsidR="005317AC" w:rsidRPr="00BE5F6F">
        <w:rPr>
          <w:rFonts w:ascii="Arial" w:hAnsi="Arial" w:cs="Arial"/>
          <w:sz w:val="20"/>
          <w:szCs w:val="20"/>
        </w:rPr>
        <w:t xml:space="preserve">; </w:t>
      </w:r>
      <w:r w:rsidR="005317AC" w:rsidRPr="00BE5F6F">
        <w:rPr>
          <w:rFonts w:ascii="Arial" w:hAnsi="Arial" w:cs="Arial"/>
          <w:i/>
          <w:sz w:val="20"/>
          <w:szCs w:val="20"/>
        </w:rPr>
        <w:t>Jovanovic against EULEX</w:t>
      </w:r>
      <w:r w:rsidR="005317AC" w:rsidRPr="00BE5F6F">
        <w:rPr>
          <w:rFonts w:ascii="Arial" w:hAnsi="Arial" w:cs="Arial"/>
          <w:sz w:val="20"/>
          <w:szCs w:val="20"/>
        </w:rPr>
        <w:t>, 7 March 2017 (concerning measures taken by the Kosovo Property Claims Commission).</w:t>
      </w:r>
    </w:p>
  </w:footnote>
  <w:footnote w:id="5">
    <w:p w14:paraId="6ABA7920" w14:textId="2EB83768" w:rsidR="002956E1" w:rsidRPr="00BE5F6F" w:rsidRDefault="002956E1" w:rsidP="00BE5F6F">
      <w:pPr>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See, generally, Case-Law Note on Principles of Human Rights Accountability of a Rule of Law Mission, pp 15 </w:t>
      </w:r>
      <w:r w:rsidRPr="00BE5F6F">
        <w:rPr>
          <w:rFonts w:ascii="Arial" w:hAnsi="Arial" w:cs="Arial"/>
          <w:i/>
          <w:sz w:val="20"/>
          <w:szCs w:val="20"/>
        </w:rPr>
        <w:t>et seq</w:t>
      </w:r>
      <w:r w:rsidRPr="00BE5F6F">
        <w:rPr>
          <w:rFonts w:ascii="Arial" w:hAnsi="Arial" w:cs="Arial"/>
          <w:sz w:val="20"/>
          <w:szCs w:val="20"/>
        </w:rPr>
        <w:t xml:space="preserve"> (</w:t>
      </w:r>
      <w:hyperlink r:id="rId1" w:history="1">
        <w:r w:rsidR="005317AC" w:rsidRPr="00BE5F6F">
          <w:rPr>
            <w:rStyle w:val="Hyperlink"/>
            <w:rFonts w:ascii="Arial" w:hAnsi="Arial" w:cs="Arial"/>
            <w:sz w:val="20"/>
            <w:szCs w:val="20"/>
          </w:rPr>
          <w:t>http://www.hrrp.eu/docs/05072017%20HR%20ACCOUNTABILITY%20FOR%20INTER%20ORGANISATION.pdf</w:t>
        </w:r>
      </w:hyperlink>
      <w:r w:rsidRPr="00BE5F6F">
        <w:rPr>
          <w:rFonts w:ascii="Arial" w:hAnsi="Arial" w:cs="Arial"/>
          <w:sz w:val="20"/>
          <w:szCs w:val="20"/>
        </w:rPr>
        <w:t>).</w:t>
      </w:r>
      <w:r w:rsidR="005317AC" w:rsidRPr="00BE5F6F">
        <w:rPr>
          <w:rFonts w:ascii="Arial" w:hAnsi="Arial" w:cs="Arial"/>
          <w:sz w:val="20"/>
          <w:szCs w:val="20"/>
        </w:rPr>
        <w:t xml:space="preserve"> </w:t>
      </w:r>
    </w:p>
  </w:footnote>
  <w:footnote w:id="6">
    <w:p w14:paraId="5D78C5BB" w14:textId="77777777" w:rsidR="002956E1" w:rsidRPr="00BE5F6F" w:rsidRDefault="002956E1" w:rsidP="00BE5F6F">
      <w:pPr>
        <w:autoSpaceDE w:val="0"/>
        <w:autoSpaceDN w:val="0"/>
        <w:adjustRightInd w:val="0"/>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Council Joint Action </w:t>
      </w:r>
      <w:r w:rsidRPr="00BE5F6F">
        <w:rPr>
          <w:rFonts w:ascii="Arial" w:hAnsi="Arial" w:cs="Arial"/>
          <w:bCs/>
          <w:sz w:val="20"/>
          <w:szCs w:val="20"/>
        </w:rPr>
        <w:t>2008/124/CFSP of 4 February 2008 on the European Union Rule of Law Mission in Kosovo, EULEX KOSOVO</w:t>
      </w:r>
      <w:r w:rsidRPr="00BE5F6F">
        <w:rPr>
          <w:rFonts w:ascii="Arial" w:hAnsi="Arial" w:cs="Arial"/>
          <w:sz w:val="20"/>
          <w:szCs w:val="20"/>
        </w:rPr>
        <w:t>, and its subsequent amendments.</w:t>
      </w:r>
    </w:p>
  </w:footnote>
  <w:footnote w:id="7">
    <w:p w14:paraId="36F06CCA" w14:textId="2581B3AA" w:rsidR="002956E1" w:rsidRPr="00BE5F6F" w:rsidRDefault="002956E1" w:rsidP="00BE5F6F">
      <w:pPr>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w:t>
      </w:r>
      <w:r w:rsidRPr="00BE5F6F">
        <w:rPr>
          <w:rFonts w:ascii="Arial" w:hAnsi="Arial" w:cs="Arial"/>
          <w:i/>
          <w:sz w:val="20"/>
          <w:szCs w:val="20"/>
        </w:rPr>
        <w:t>Zahiti against EULEX</w:t>
      </w:r>
      <w:r w:rsidRPr="00BE5F6F">
        <w:rPr>
          <w:rFonts w:ascii="Arial" w:hAnsi="Arial" w:cs="Arial"/>
          <w:sz w:val="20"/>
          <w:szCs w:val="20"/>
        </w:rPr>
        <w:t xml:space="preserve">, </w:t>
      </w:r>
      <w:r w:rsidR="00BE5F6F">
        <w:rPr>
          <w:rFonts w:ascii="Arial" w:hAnsi="Arial" w:cs="Arial"/>
          <w:sz w:val="20"/>
          <w:szCs w:val="20"/>
        </w:rPr>
        <w:t>2012-14, 4 February 2014, pars</w:t>
      </w:r>
      <w:r w:rsidRPr="00BE5F6F">
        <w:rPr>
          <w:rFonts w:ascii="Arial" w:hAnsi="Arial" w:cs="Arial"/>
          <w:sz w:val="20"/>
          <w:szCs w:val="20"/>
        </w:rPr>
        <w:t xml:space="preserve"> 52 </w:t>
      </w:r>
      <w:r w:rsidRPr="00BE5F6F">
        <w:rPr>
          <w:rFonts w:ascii="Arial" w:hAnsi="Arial" w:cs="Arial"/>
          <w:i/>
          <w:sz w:val="20"/>
          <w:szCs w:val="20"/>
        </w:rPr>
        <w:t>et seq</w:t>
      </w:r>
      <w:r w:rsidRPr="00BE5F6F">
        <w:rPr>
          <w:rFonts w:ascii="Arial" w:hAnsi="Arial" w:cs="Arial"/>
          <w:sz w:val="20"/>
          <w:szCs w:val="20"/>
        </w:rPr>
        <w:t>.</w:t>
      </w:r>
    </w:p>
  </w:footnote>
  <w:footnote w:id="8">
    <w:p w14:paraId="68E42FB4" w14:textId="581782FA" w:rsidR="002956E1" w:rsidRPr="00BE5F6F" w:rsidRDefault="002956E1" w:rsidP="00BE5F6F">
      <w:pPr>
        <w:pStyle w:val="FootnoteText"/>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See Case-Law Note on Principles of Human Rights Accountability of a Rule of Law Mission, pp 16 </w:t>
      </w:r>
      <w:r w:rsidRPr="00BE5F6F">
        <w:rPr>
          <w:rFonts w:ascii="Arial" w:hAnsi="Arial" w:cs="Arial"/>
          <w:i/>
          <w:sz w:val="20"/>
          <w:szCs w:val="20"/>
        </w:rPr>
        <w:t>et seq.</w:t>
      </w:r>
    </w:p>
  </w:footnote>
  <w:footnote w:id="9">
    <w:p w14:paraId="212DA8D3" w14:textId="18DB448D" w:rsidR="002956E1" w:rsidRPr="00BE5F6F" w:rsidRDefault="002956E1" w:rsidP="00BE5F6F">
      <w:pPr>
        <w:pStyle w:val="FootnoteText"/>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Reference in footnote </w:t>
      </w:r>
      <w:r w:rsidRPr="00BE5F6F">
        <w:rPr>
          <w:rFonts w:ascii="Arial" w:hAnsi="Arial" w:cs="Arial"/>
          <w:sz w:val="20"/>
          <w:szCs w:val="20"/>
          <w:highlight w:val="green"/>
        </w:rPr>
        <w:t>xx</w:t>
      </w:r>
      <w:r w:rsidRPr="00BE5F6F">
        <w:rPr>
          <w:rFonts w:ascii="Arial" w:hAnsi="Arial" w:cs="Arial"/>
          <w:sz w:val="20"/>
          <w:szCs w:val="20"/>
        </w:rPr>
        <w:t xml:space="preserve"> above. </w:t>
      </w:r>
    </w:p>
  </w:footnote>
  <w:footnote w:id="10">
    <w:p w14:paraId="3C171AD9" w14:textId="69D5F03A" w:rsidR="002956E1" w:rsidRPr="00BE5F6F" w:rsidRDefault="002956E1" w:rsidP="00BE5F6F">
      <w:pPr>
        <w:pStyle w:val="FootnoteText"/>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w:t>
      </w:r>
      <w:r w:rsidRPr="00BE5F6F">
        <w:rPr>
          <w:rFonts w:ascii="Arial" w:hAnsi="Arial" w:cs="Arial"/>
          <w:i/>
          <w:sz w:val="20"/>
          <w:szCs w:val="20"/>
        </w:rPr>
        <w:t>Avdyl Smajli against EULEX</w:t>
      </w:r>
      <w:r w:rsidRPr="00BE5F6F">
        <w:rPr>
          <w:rFonts w:ascii="Arial" w:hAnsi="Arial" w:cs="Arial"/>
          <w:sz w:val="20"/>
          <w:szCs w:val="20"/>
        </w:rPr>
        <w:t xml:space="preserve">, </w:t>
      </w:r>
      <w:r w:rsidR="00BE5F6F">
        <w:rPr>
          <w:rFonts w:ascii="Arial" w:hAnsi="Arial" w:cs="Arial"/>
          <w:sz w:val="20"/>
          <w:szCs w:val="20"/>
        </w:rPr>
        <w:t>2011-16, 23 November 2011, par</w:t>
      </w:r>
      <w:r w:rsidRPr="00BE5F6F">
        <w:rPr>
          <w:rFonts w:ascii="Arial" w:hAnsi="Arial" w:cs="Arial"/>
          <w:sz w:val="20"/>
          <w:szCs w:val="20"/>
        </w:rPr>
        <w:t xml:space="preserve"> 14. See also </w:t>
      </w:r>
      <w:r w:rsidRPr="00BE5F6F">
        <w:rPr>
          <w:rFonts w:ascii="Arial" w:hAnsi="Arial" w:cs="Arial"/>
          <w:bCs/>
          <w:i/>
          <w:sz w:val="20"/>
          <w:szCs w:val="20"/>
          <w:lang w:val="en-GB"/>
        </w:rPr>
        <w:t>Milazim Blakqori against EULEX</w:t>
      </w:r>
      <w:r w:rsidRPr="00BE5F6F">
        <w:rPr>
          <w:rFonts w:ascii="Arial" w:hAnsi="Arial" w:cs="Arial"/>
          <w:bCs/>
          <w:sz w:val="20"/>
          <w:szCs w:val="20"/>
          <w:lang w:val="en-GB"/>
        </w:rPr>
        <w:t xml:space="preserve">, </w:t>
      </w:r>
      <w:r w:rsidR="00BE5F6F">
        <w:rPr>
          <w:rFonts w:ascii="Arial" w:hAnsi="Arial" w:cs="Arial"/>
          <w:bCs/>
          <w:sz w:val="20"/>
          <w:szCs w:val="20"/>
          <w:lang w:val="en-GB"/>
        </w:rPr>
        <w:t>2011-06, 23 November 2011, par</w:t>
      </w:r>
      <w:r w:rsidRPr="00BE5F6F">
        <w:rPr>
          <w:rFonts w:ascii="Arial" w:hAnsi="Arial" w:cs="Arial"/>
          <w:bCs/>
          <w:sz w:val="20"/>
          <w:szCs w:val="20"/>
          <w:lang w:val="en-GB"/>
        </w:rPr>
        <w:t xml:space="preserve"> 18. </w:t>
      </w:r>
    </w:p>
  </w:footnote>
  <w:footnote w:id="11">
    <w:p w14:paraId="5D6DC043" w14:textId="091A7CD1" w:rsidR="002956E1" w:rsidRPr="00BE5F6F" w:rsidRDefault="002956E1" w:rsidP="00BE5F6F">
      <w:pPr>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w:t>
      </w:r>
      <w:r w:rsidRPr="00BE5F6F">
        <w:rPr>
          <w:rFonts w:ascii="Arial" w:hAnsi="Arial" w:cs="Arial"/>
          <w:i/>
          <w:sz w:val="20"/>
          <w:szCs w:val="20"/>
        </w:rPr>
        <w:t>Z.A. against EULEX</w:t>
      </w:r>
      <w:r w:rsidRPr="00BE5F6F">
        <w:rPr>
          <w:rFonts w:ascii="Arial" w:hAnsi="Arial" w:cs="Arial"/>
          <w:sz w:val="20"/>
          <w:szCs w:val="20"/>
        </w:rPr>
        <w:t>, 2</w:t>
      </w:r>
      <w:r w:rsidR="00BE5F6F">
        <w:rPr>
          <w:rFonts w:ascii="Arial" w:hAnsi="Arial" w:cs="Arial"/>
          <w:sz w:val="20"/>
          <w:szCs w:val="20"/>
        </w:rPr>
        <w:t xml:space="preserve">014-36, 29 February 2016, par </w:t>
      </w:r>
      <w:r w:rsidRPr="00BE5F6F">
        <w:rPr>
          <w:rFonts w:ascii="Arial" w:hAnsi="Arial" w:cs="Arial"/>
          <w:sz w:val="20"/>
          <w:szCs w:val="20"/>
        </w:rPr>
        <w:t xml:space="preserve">17, and its references to </w:t>
      </w:r>
      <w:r w:rsidRPr="00BE5F6F">
        <w:rPr>
          <w:rFonts w:ascii="Arial" w:hAnsi="Arial" w:cs="Arial"/>
          <w:i/>
          <w:sz w:val="20"/>
          <w:szCs w:val="20"/>
        </w:rPr>
        <w:t>Gani Zeka against EULEX,</w:t>
      </w:r>
      <w:r w:rsidRPr="00BE5F6F">
        <w:rPr>
          <w:rFonts w:ascii="Arial" w:hAnsi="Arial" w:cs="Arial"/>
          <w:sz w:val="20"/>
          <w:szCs w:val="20"/>
        </w:rPr>
        <w:t xml:space="preserve"> </w:t>
      </w:r>
      <w:r w:rsidR="00BE5F6F">
        <w:rPr>
          <w:rFonts w:ascii="Arial" w:hAnsi="Arial" w:cs="Arial"/>
          <w:sz w:val="20"/>
          <w:szCs w:val="20"/>
          <w:lang w:val="en-GB"/>
        </w:rPr>
        <w:t>2013-15, 4 February 2014, par</w:t>
      </w:r>
      <w:r w:rsidRPr="00BE5F6F">
        <w:rPr>
          <w:rFonts w:ascii="Arial" w:hAnsi="Arial" w:cs="Arial"/>
          <w:sz w:val="20"/>
          <w:szCs w:val="20"/>
          <w:lang w:val="en-GB"/>
        </w:rPr>
        <w:t xml:space="preserve"> 13, and </w:t>
      </w:r>
      <w:r w:rsidRPr="00BE5F6F">
        <w:rPr>
          <w:rFonts w:ascii="Arial" w:hAnsi="Arial" w:cs="Arial"/>
          <w:i/>
          <w:sz w:val="20"/>
          <w:szCs w:val="20"/>
          <w:lang w:val="en-GB"/>
        </w:rPr>
        <w:t xml:space="preserve">Shaban Kadriu against EULEX, </w:t>
      </w:r>
      <w:r w:rsidR="00BE5F6F">
        <w:rPr>
          <w:rFonts w:ascii="Arial" w:hAnsi="Arial" w:cs="Arial"/>
          <w:sz w:val="20"/>
          <w:szCs w:val="20"/>
          <w:lang w:val="en-GB"/>
        </w:rPr>
        <w:t>2013-27, 27 May 2014, par</w:t>
      </w:r>
      <w:r w:rsidRPr="00BE5F6F">
        <w:rPr>
          <w:rFonts w:ascii="Arial" w:hAnsi="Arial" w:cs="Arial"/>
          <w:sz w:val="20"/>
          <w:szCs w:val="20"/>
          <w:lang w:val="en-GB"/>
        </w:rPr>
        <w:t xml:space="preserve"> 17.</w:t>
      </w:r>
    </w:p>
  </w:footnote>
  <w:footnote w:id="12">
    <w:p w14:paraId="5675A47A" w14:textId="6D9B648A" w:rsidR="002956E1" w:rsidRPr="00BE5F6F" w:rsidRDefault="002956E1" w:rsidP="00BE5F6F">
      <w:pPr>
        <w:jc w:val="both"/>
        <w:rPr>
          <w:rFonts w:ascii="Arial" w:hAnsi="Arial" w:cs="Arial"/>
          <w:b/>
          <w:bCs/>
          <w:sz w:val="20"/>
          <w:szCs w:val="20"/>
          <w:lang w:val="en-GB"/>
        </w:rPr>
      </w:pPr>
      <w:r w:rsidRPr="00BE5F6F">
        <w:rPr>
          <w:rStyle w:val="FootnoteReference"/>
          <w:rFonts w:ascii="Arial" w:hAnsi="Arial" w:cs="Arial"/>
          <w:sz w:val="20"/>
          <w:szCs w:val="20"/>
        </w:rPr>
        <w:footnoteRef/>
      </w:r>
      <w:r w:rsidRPr="00BE5F6F">
        <w:rPr>
          <w:rFonts w:ascii="Arial" w:hAnsi="Arial" w:cs="Arial"/>
          <w:sz w:val="20"/>
          <w:szCs w:val="20"/>
        </w:rPr>
        <w:t xml:space="preserve"> </w:t>
      </w:r>
      <w:r w:rsidRPr="00BE5F6F">
        <w:rPr>
          <w:rFonts w:ascii="Arial" w:hAnsi="Arial" w:cs="Arial"/>
          <w:bCs/>
          <w:i/>
          <w:sz w:val="20"/>
          <w:szCs w:val="20"/>
          <w:lang w:val="en-GB"/>
        </w:rPr>
        <w:t>Slobodan Martinovic against EULEX</w:t>
      </w:r>
      <w:r w:rsidRPr="00BE5F6F">
        <w:rPr>
          <w:rFonts w:ascii="Arial" w:hAnsi="Arial" w:cs="Arial"/>
          <w:bCs/>
          <w:sz w:val="20"/>
          <w:szCs w:val="20"/>
          <w:lang w:val="en-GB"/>
        </w:rPr>
        <w:t>, 2011-13, 23 November 2011,</w:t>
      </w:r>
      <w:r w:rsidR="00BE5F6F">
        <w:rPr>
          <w:rFonts w:ascii="Arial" w:hAnsi="Arial" w:cs="Arial"/>
          <w:bCs/>
          <w:sz w:val="20"/>
          <w:szCs w:val="20"/>
          <w:lang w:val="en-GB"/>
        </w:rPr>
        <w:t xml:space="preserve"> par</w:t>
      </w:r>
      <w:r w:rsidRPr="00BE5F6F">
        <w:rPr>
          <w:rFonts w:ascii="Arial" w:hAnsi="Arial" w:cs="Arial"/>
          <w:bCs/>
          <w:sz w:val="20"/>
          <w:szCs w:val="20"/>
          <w:lang w:val="en-GB"/>
        </w:rPr>
        <w:t xml:space="preserve"> 15</w:t>
      </w:r>
      <w:r w:rsidRPr="00BE5F6F">
        <w:rPr>
          <w:rFonts w:ascii="Arial" w:hAnsi="Arial" w:cs="Arial"/>
          <w:b/>
          <w:bCs/>
          <w:sz w:val="20"/>
          <w:szCs w:val="20"/>
          <w:lang w:val="en-GB"/>
        </w:rPr>
        <w:t>.</w:t>
      </w:r>
    </w:p>
  </w:footnote>
  <w:footnote w:id="13">
    <w:p w14:paraId="7A33C9DD" w14:textId="6E65E6FF" w:rsidR="002956E1" w:rsidRPr="00BE5F6F" w:rsidRDefault="002956E1" w:rsidP="00BE5F6F">
      <w:pPr>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w:t>
      </w:r>
      <w:r w:rsidRPr="00BE5F6F">
        <w:rPr>
          <w:rFonts w:ascii="Arial" w:hAnsi="Arial" w:cs="Arial"/>
          <w:bCs/>
          <w:i/>
          <w:sz w:val="20"/>
          <w:szCs w:val="20"/>
          <w:lang w:val="en-GB"/>
        </w:rPr>
        <w:t>Burim Ramadani against EULEX</w:t>
      </w:r>
      <w:r w:rsidR="00BE5F6F">
        <w:rPr>
          <w:rFonts w:ascii="Arial" w:hAnsi="Arial" w:cs="Arial"/>
          <w:bCs/>
          <w:sz w:val="20"/>
          <w:szCs w:val="20"/>
          <w:lang w:val="en-GB"/>
        </w:rPr>
        <w:t>, 2010-09, 8 June 2011, pars</w:t>
      </w:r>
      <w:r w:rsidRPr="00BE5F6F">
        <w:rPr>
          <w:rFonts w:ascii="Arial" w:hAnsi="Arial" w:cs="Arial"/>
          <w:bCs/>
          <w:sz w:val="20"/>
          <w:szCs w:val="20"/>
          <w:lang w:val="en-GB"/>
        </w:rPr>
        <w:t xml:space="preserve"> 27-28. See also </w:t>
      </w:r>
      <w:r w:rsidRPr="00BE5F6F">
        <w:rPr>
          <w:rFonts w:ascii="Arial" w:hAnsi="Arial" w:cs="Arial"/>
          <w:bCs/>
          <w:i/>
          <w:sz w:val="20"/>
          <w:szCs w:val="20"/>
          <w:lang w:val="en-GB"/>
        </w:rPr>
        <w:t>Milazim Blakqori against EULEX</w:t>
      </w:r>
      <w:r w:rsidRPr="00BE5F6F">
        <w:rPr>
          <w:rFonts w:ascii="Arial" w:hAnsi="Arial" w:cs="Arial"/>
          <w:bCs/>
          <w:sz w:val="20"/>
          <w:szCs w:val="20"/>
          <w:lang w:val="en-GB"/>
        </w:rPr>
        <w:t xml:space="preserve">, </w:t>
      </w:r>
      <w:r w:rsidR="00BE5F6F">
        <w:rPr>
          <w:rFonts w:ascii="Arial" w:hAnsi="Arial" w:cs="Arial"/>
          <w:bCs/>
          <w:sz w:val="20"/>
          <w:szCs w:val="20"/>
          <w:lang w:val="en-GB"/>
        </w:rPr>
        <w:t>2011-06, 23 November 2011, par</w:t>
      </w:r>
      <w:r w:rsidRPr="00BE5F6F">
        <w:rPr>
          <w:rFonts w:ascii="Arial" w:hAnsi="Arial" w:cs="Arial"/>
          <w:bCs/>
          <w:sz w:val="20"/>
          <w:szCs w:val="20"/>
          <w:lang w:val="en-GB"/>
        </w:rPr>
        <w:t xml:space="preserve"> 18. </w:t>
      </w:r>
    </w:p>
  </w:footnote>
  <w:footnote w:id="14">
    <w:p w14:paraId="2FD4128E" w14:textId="2EDEF0A7" w:rsidR="002956E1" w:rsidRPr="00BE5F6F" w:rsidRDefault="002956E1" w:rsidP="00BE5F6F">
      <w:pPr>
        <w:pStyle w:val="FootnoteText"/>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w:t>
      </w:r>
      <w:r w:rsidRPr="00BE5F6F">
        <w:rPr>
          <w:rFonts w:ascii="Arial" w:hAnsi="Arial" w:cs="Arial"/>
          <w:i/>
          <w:sz w:val="20"/>
          <w:szCs w:val="20"/>
        </w:rPr>
        <w:t>E against EULEX</w:t>
      </w:r>
      <w:r w:rsidR="00BE5F6F">
        <w:rPr>
          <w:rFonts w:ascii="Arial" w:hAnsi="Arial" w:cs="Arial"/>
          <w:sz w:val="20"/>
          <w:szCs w:val="20"/>
        </w:rPr>
        <w:t>, 2012-17, 30 August 2013, par</w:t>
      </w:r>
      <w:r w:rsidRPr="00BE5F6F">
        <w:rPr>
          <w:rFonts w:ascii="Arial" w:hAnsi="Arial" w:cs="Arial"/>
          <w:sz w:val="20"/>
          <w:szCs w:val="20"/>
        </w:rPr>
        <w:t xml:space="preserve"> 25 (emphasis added); see also </w:t>
      </w:r>
      <w:r w:rsidRPr="00BE5F6F">
        <w:rPr>
          <w:rFonts w:ascii="Arial" w:hAnsi="Arial" w:cs="Arial"/>
          <w:i/>
          <w:sz w:val="20"/>
          <w:szCs w:val="20"/>
        </w:rPr>
        <w:t>Halili against EULEX</w:t>
      </w:r>
      <w:r w:rsidRPr="00BE5F6F">
        <w:rPr>
          <w:rFonts w:ascii="Arial" w:hAnsi="Arial" w:cs="Arial"/>
          <w:sz w:val="20"/>
          <w:szCs w:val="20"/>
        </w:rPr>
        <w:t>,</w:t>
      </w:r>
      <w:r w:rsidR="00BE5F6F">
        <w:rPr>
          <w:rFonts w:ascii="Arial" w:hAnsi="Arial" w:cs="Arial"/>
          <w:sz w:val="20"/>
          <w:szCs w:val="20"/>
        </w:rPr>
        <w:t xml:space="preserve"> 2012-08, 15 January 2013, par</w:t>
      </w:r>
      <w:r w:rsidRPr="00BE5F6F">
        <w:rPr>
          <w:rFonts w:ascii="Arial" w:hAnsi="Arial" w:cs="Arial"/>
          <w:sz w:val="20"/>
          <w:szCs w:val="20"/>
        </w:rPr>
        <w:t xml:space="preserve"> 21; </w:t>
      </w:r>
      <w:r w:rsidRPr="00BE5F6F">
        <w:rPr>
          <w:rFonts w:ascii="Arial" w:hAnsi="Arial" w:cs="Arial"/>
          <w:i/>
          <w:sz w:val="20"/>
          <w:szCs w:val="20"/>
        </w:rPr>
        <w:t>Pajaziti against EULEX</w:t>
      </w:r>
      <w:r w:rsidR="00BE5F6F">
        <w:rPr>
          <w:rFonts w:ascii="Arial" w:hAnsi="Arial" w:cs="Arial"/>
          <w:sz w:val="20"/>
          <w:szCs w:val="20"/>
        </w:rPr>
        <w:t>, 2012-05, 4 October 2012 pars</w:t>
      </w:r>
      <w:r w:rsidRPr="00BE5F6F">
        <w:rPr>
          <w:rFonts w:ascii="Arial" w:hAnsi="Arial" w:cs="Arial"/>
          <w:sz w:val="20"/>
          <w:szCs w:val="20"/>
        </w:rPr>
        <w:t xml:space="preserve"> 9-10; </w:t>
      </w:r>
      <w:r w:rsidRPr="00BE5F6F">
        <w:rPr>
          <w:rFonts w:ascii="Arial" w:hAnsi="Arial" w:cs="Arial"/>
          <w:i/>
          <w:sz w:val="20"/>
          <w:szCs w:val="20"/>
        </w:rPr>
        <w:t>Dobruna against EULEX</w:t>
      </w:r>
      <w:r w:rsidRPr="00BE5F6F">
        <w:rPr>
          <w:rFonts w:ascii="Arial" w:hAnsi="Arial" w:cs="Arial"/>
          <w:sz w:val="20"/>
          <w:szCs w:val="20"/>
        </w:rPr>
        <w:t xml:space="preserve">, 2012-03, 4 October 2012 para. 12; </w:t>
      </w:r>
      <w:r w:rsidRPr="00BE5F6F">
        <w:rPr>
          <w:rFonts w:ascii="Arial" w:hAnsi="Arial" w:cs="Arial"/>
          <w:i/>
          <w:sz w:val="20"/>
          <w:szCs w:val="20"/>
        </w:rPr>
        <w:t>Zeka against EULEX</w:t>
      </w:r>
      <w:r w:rsidR="00BE5F6F">
        <w:rPr>
          <w:rFonts w:ascii="Arial" w:hAnsi="Arial" w:cs="Arial"/>
          <w:sz w:val="20"/>
          <w:szCs w:val="20"/>
        </w:rPr>
        <w:t>, 2012-02, 4 October 2012 par</w:t>
      </w:r>
      <w:r w:rsidRPr="00BE5F6F">
        <w:rPr>
          <w:rFonts w:ascii="Arial" w:hAnsi="Arial" w:cs="Arial"/>
          <w:sz w:val="20"/>
          <w:szCs w:val="20"/>
        </w:rPr>
        <w:t xml:space="preserve"> 21. See also </w:t>
      </w:r>
      <w:r w:rsidRPr="00BE5F6F">
        <w:rPr>
          <w:rFonts w:ascii="Arial" w:hAnsi="Arial" w:cs="Arial"/>
          <w:i/>
          <w:sz w:val="20"/>
          <w:szCs w:val="20"/>
        </w:rPr>
        <w:t>Shaban Syla against EULEX</w:t>
      </w:r>
      <w:r w:rsidRPr="00BE5F6F">
        <w:rPr>
          <w:rFonts w:ascii="Arial" w:hAnsi="Arial" w:cs="Arial"/>
          <w:sz w:val="20"/>
          <w:szCs w:val="20"/>
        </w:rPr>
        <w:t>, 2015-10,</w:t>
      </w:r>
      <w:r w:rsidR="00BE5F6F">
        <w:rPr>
          <w:rFonts w:ascii="Arial" w:hAnsi="Arial" w:cs="Arial"/>
          <w:sz w:val="20"/>
          <w:szCs w:val="20"/>
        </w:rPr>
        <w:t xml:space="preserve"> 1 March 2016, par</w:t>
      </w:r>
      <w:r w:rsidRPr="00BE5F6F">
        <w:rPr>
          <w:rFonts w:ascii="Arial" w:hAnsi="Arial" w:cs="Arial"/>
          <w:sz w:val="20"/>
          <w:szCs w:val="20"/>
        </w:rPr>
        <w:t xml:space="preserve"> 14.</w:t>
      </w:r>
    </w:p>
  </w:footnote>
  <w:footnote w:id="15">
    <w:p w14:paraId="75D8A162" w14:textId="389BC590" w:rsidR="002956E1" w:rsidRPr="00BE5F6F" w:rsidRDefault="002956E1" w:rsidP="00BE5F6F">
      <w:pPr>
        <w:pStyle w:val="FootnoteText"/>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w:t>
      </w:r>
      <w:r w:rsidRPr="00BE5F6F">
        <w:rPr>
          <w:rFonts w:ascii="Arial" w:hAnsi="Arial" w:cs="Arial"/>
          <w:i/>
          <w:sz w:val="20"/>
          <w:szCs w:val="20"/>
        </w:rPr>
        <w:t>Samedin Smajli against EULEX</w:t>
      </w:r>
      <w:r w:rsidRPr="00BE5F6F">
        <w:rPr>
          <w:rFonts w:ascii="Arial" w:hAnsi="Arial" w:cs="Arial"/>
          <w:sz w:val="20"/>
          <w:szCs w:val="20"/>
        </w:rPr>
        <w:t xml:space="preserve">, </w:t>
      </w:r>
      <w:r w:rsidR="00BE5F6F">
        <w:rPr>
          <w:rFonts w:ascii="Arial" w:hAnsi="Arial" w:cs="Arial"/>
          <w:sz w:val="20"/>
          <w:szCs w:val="20"/>
        </w:rPr>
        <w:t xml:space="preserve">2011-15, 23 November 2011, par </w:t>
      </w:r>
      <w:r w:rsidRPr="00BE5F6F">
        <w:rPr>
          <w:rFonts w:ascii="Arial" w:hAnsi="Arial" w:cs="Arial"/>
          <w:sz w:val="20"/>
          <w:szCs w:val="20"/>
        </w:rPr>
        <w:t>16.</w:t>
      </w:r>
    </w:p>
  </w:footnote>
  <w:footnote w:id="16">
    <w:p w14:paraId="6D27150E" w14:textId="292C4FED" w:rsidR="00006DA6" w:rsidRPr="00BE5F6F" w:rsidRDefault="00006DA6" w:rsidP="00BE5F6F">
      <w:pPr>
        <w:pStyle w:val="Default"/>
        <w:jc w:val="both"/>
        <w:rPr>
          <w:sz w:val="20"/>
          <w:szCs w:val="20"/>
        </w:rPr>
      </w:pPr>
      <w:r w:rsidRPr="00BE5F6F">
        <w:rPr>
          <w:rStyle w:val="FootnoteReference"/>
          <w:sz w:val="20"/>
          <w:szCs w:val="20"/>
        </w:rPr>
        <w:footnoteRef/>
      </w:r>
      <w:r w:rsidRPr="00BE5F6F">
        <w:rPr>
          <w:sz w:val="20"/>
          <w:szCs w:val="20"/>
        </w:rPr>
        <w:t xml:space="preserve"> </w:t>
      </w:r>
      <w:r w:rsidRPr="00BE5F6F">
        <w:rPr>
          <w:bCs/>
          <w:i/>
          <w:sz w:val="20"/>
          <w:szCs w:val="20"/>
        </w:rPr>
        <w:t>Ajet Kaçiu against EULEX</w:t>
      </w:r>
      <w:r w:rsidRPr="00BE5F6F">
        <w:rPr>
          <w:bCs/>
          <w:sz w:val="20"/>
          <w:szCs w:val="20"/>
        </w:rPr>
        <w:t>,</w:t>
      </w:r>
      <w:r w:rsidR="00BE5F6F">
        <w:rPr>
          <w:bCs/>
          <w:sz w:val="20"/>
          <w:szCs w:val="20"/>
        </w:rPr>
        <w:t xml:space="preserve"> 2014-26, 2 February 2015, par</w:t>
      </w:r>
      <w:r w:rsidRPr="00BE5F6F">
        <w:rPr>
          <w:bCs/>
          <w:sz w:val="20"/>
          <w:szCs w:val="20"/>
        </w:rPr>
        <w:t xml:space="preserve"> 19, and its references to </w:t>
      </w:r>
      <w:r w:rsidRPr="00BE5F6F">
        <w:rPr>
          <w:i/>
          <w:sz w:val="20"/>
          <w:szCs w:val="20"/>
        </w:rPr>
        <w:t>Hamiti against EULEX</w:t>
      </w:r>
      <w:r w:rsidR="00BE5F6F">
        <w:rPr>
          <w:sz w:val="20"/>
          <w:szCs w:val="20"/>
        </w:rPr>
        <w:t>, 2012-01, 5 June 2012, par 17;</w:t>
      </w:r>
      <w:r w:rsidRPr="00BE5F6F">
        <w:rPr>
          <w:sz w:val="20"/>
          <w:szCs w:val="20"/>
        </w:rPr>
        <w:t xml:space="preserve"> and </w:t>
      </w:r>
      <w:r w:rsidRPr="00BE5F6F">
        <w:rPr>
          <w:i/>
          <w:sz w:val="20"/>
          <w:szCs w:val="20"/>
        </w:rPr>
        <w:t>Shaban Kadriu</w:t>
      </w:r>
      <w:r w:rsidR="00BE5F6F" w:rsidRPr="00BE5F6F">
        <w:rPr>
          <w:i/>
          <w:sz w:val="20"/>
          <w:szCs w:val="20"/>
        </w:rPr>
        <w:t xml:space="preserve"> against EULEX</w:t>
      </w:r>
      <w:r w:rsidRPr="00BE5F6F">
        <w:rPr>
          <w:sz w:val="20"/>
          <w:szCs w:val="20"/>
        </w:rPr>
        <w:t>, 2013</w:t>
      </w:r>
      <w:r w:rsidR="00BE5F6F">
        <w:rPr>
          <w:sz w:val="20"/>
          <w:szCs w:val="20"/>
        </w:rPr>
        <w:t>-27, 27 May 2014, par</w:t>
      </w:r>
      <w:r w:rsidRPr="00BE5F6F">
        <w:rPr>
          <w:sz w:val="20"/>
          <w:szCs w:val="20"/>
        </w:rPr>
        <w:t xml:space="preserve"> 18. </w:t>
      </w:r>
    </w:p>
  </w:footnote>
  <w:footnote w:id="17">
    <w:p w14:paraId="21FA311C" w14:textId="76D26077" w:rsidR="002956E1" w:rsidRPr="00BE5F6F" w:rsidRDefault="002956E1" w:rsidP="00BE5F6F">
      <w:pPr>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w:t>
      </w:r>
      <w:r w:rsidRPr="00BE5F6F">
        <w:rPr>
          <w:rFonts w:ascii="Arial" w:hAnsi="Arial" w:cs="Arial"/>
          <w:i/>
          <w:sz w:val="20"/>
          <w:szCs w:val="20"/>
        </w:rPr>
        <w:t>Milica Radunovic against EULEX</w:t>
      </w:r>
      <w:r w:rsidRPr="00BE5F6F">
        <w:rPr>
          <w:rFonts w:ascii="Arial" w:hAnsi="Arial" w:cs="Arial"/>
          <w:sz w:val="20"/>
          <w:szCs w:val="20"/>
        </w:rPr>
        <w:t xml:space="preserve">, </w:t>
      </w:r>
      <w:r w:rsidR="00BE5F6F">
        <w:rPr>
          <w:rFonts w:ascii="Arial" w:hAnsi="Arial" w:cs="Arial"/>
          <w:sz w:val="20"/>
          <w:szCs w:val="20"/>
        </w:rPr>
        <w:t>2014-02, 12 November 2015, par</w:t>
      </w:r>
      <w:r w:rsidRPr="00BE5F6F">
        <w:rPr>
          <w:rFonts w:ascii="Arial" w:hAnsi="Arial" w:cs="Arial"/>
          <w:sz w:val="20"/>
          <w:szCs w:val="20"/>
        </w:rPr>
        <w:t xml:space="preserve"> 17. See also </w:t>
      </w:r>
      <w:r w:rsidRPr="00BE5F6F">
        <w:rPr>
          <w:rFonts w:ascii="Arial" w:hAnsi="Arial" w:cs="Arial"/>
          <w:i/>
          <w:sz w:val="20"/>
          <w:szCs w:val="20"/>
        </w:rPr>
        <w:t>Mazlam Ibrahimi against EULEX</w:t>
      </w:r>
      <w:r w:rsidR="00BE5F6F">
        <w:rPr>
          <w:rFonts w:ascii="Arial" w:hAnsi="Arial" w:cs="Arial"/>
          <w:sz w:val="20"/>
          <w:szCs w:val="20"/>
        </w:rPr>
        <w:t>, 2014-05, 21 April 2015, par</w:t>
      </w:r>
      <w:r w:rsidRPr="00BE5F6F">
        <w:rPr>
          <w:rFonts w:ascii="Arial" w:hAnsi="Arial" w:cs="Arial"/>
          <w:sz w:val="20"/>
          <w:szCs w:val="20"/>
        </w:rPr>
        <w:t xml:space="preserve"> 24.</w:t>
      </w:r>
    </w:p>
  </w:footnote>
  <w:footnote w:id="18">
    <w:p w14:paraId="163AC190" w14:textId="77777777" w:rsidR="002956E1" w:rsidRPr="00BE5F6F" w:rsidRDefault="002956E1" w:rsidP="00BE5F6F">
      <w:pPr>
        <w:pStyle w:val="FootnoteText"/>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w:t>
      </w:r>
      <w:r w:rsidRPr="00BE5F6F">
        <w:rPr>
          <w:rFonts w:ascii="Arial" w:hAnsi="Arial" w:cs="Arial"/>
          <w:i/>
          <w:sz w:val="20"/>
          <w:szCs w:val="20"/>
        </w:rPr>
        <w:t>Tomë Krasniqi against EULEX</w:t>
      </w:r>
      <w:r w:rsidRPr="00BE5F6F">
        <w:rPr>
          <w:rFonts w:ascii="Arial" w:hAnsi="Arial" w:cs="Arial"/>
          <w:sz w:val="20"/>
          <w:szCs w:val="20"/>
        </w:rPr>
        <w:t>, 2014-04, 27 May 2014, paras. 15-16.</w:t>
      </w:r>
    </w:p>
  </w:footnote>
  <w:footnote w:id="19">
    <w:p w14:paraId="6720623D" w14:textId="77777777" w:rsidR="002956E1" w:rsidRPr="00BE5F6F" w:rsidRDefault="002956E1" w:rsidP="00BE5F6F">
      <w:pPr>
        <w:pStyle w:val="FootnoteText"/>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w:t>
      </w:r>
      <w:r w:rsidRPr="00BE5F6F">
        <w:rPr>
          <w:rFonts w:ascii="Arial" w:hAnsi="Arial" w:cs="Arial"/>
          <w:i/>
          <w:sz w:val="20"/>
          <w:szCs w:val="20"/>
        </w:rPr>
        <w:t>Milica Radunovic against EULEX</w:t>
      </w:r>
      <w:r w:rsidRPr="00BE5F6F">
        <w:rPr>
          <w:rFonts w:ascii="Arial" w:hAnsi="Arial" w:cs="Arial"/>
          <w:sz w:val="20"/>
          <w:szCs w:val="20"/>
        </w:rPr>
        <w:t xml:space="preserve">, 2014-02, 12 November 2015, paras.18- ,and its references to ECtHR, </w:t>
      </w:r>
      <w:r w:rsidRPr="00BE5F6F">
        <w:rPr>
          <w:rFonts w:ascii="Arial" w:hAnsi="Arial" w:cs="Arial"/>
          <w:i/>
          <w:sz w:val="20"/>
          <w:szCs w:val="20"/>
        </w:rPr>
        <w:t>Tolstoy Miloslavsky v UK</w:t>
      </w:r>
      <w:r w:rsidRPr="00BE5F6F">
        <w:rPr>
          <w:rFonts w:ascii="Arial" w:hAnsi="Arial" w:cs="Arial"/>
          <w:sz w:val="20"/>
          <w:szCs w:val="20"/>
        </w:rPr>
        <w:t xml:space="preserve">, judgment of 13 July 1995, para. 59; </w:t>
      </w:r>
      <w:r w:rsidRPr="00BE5F6F">
        <w:rPr>
          <w:rFonts w:ascii="Arial" w:hAnsi="Arial" w:cs="Arial"/>
          <w:i/>
          <w:sz w:val="20"/>
          <w:szCs w:val="20"/>
        </w:rPr>
        <w:t>Golder v. the United Kingdom</w:t>
      </w:r>
      <w:r w:rsidRPr="00BE5F6F">
        <w:rPr>
          <w:rFonts w:ascii="Arial" w:hAnsi="Arial" w:cs="Arial"/>
          <w:sz w:val="20"/>
          <w:szCs w:val="20"/>
        </w:rPr>
        <w:t>, 21 February 1975, paras. 34-36</w:t>
      </w:r>
      <w:r w:rsidRPr="00BE5F6F">
        <w:rPr>
          <w:rFonts w:ascii="Arial" w:hAnsi="Arial" w:cs="Arial"/>
          <w:i/>
          <w:sz w:val="20"/>
          <w:szCs w:val="20"/>
        </w:rPr>
        <w:t>; Z. and Others v. the United Kingdom</w:t>
      </w:r>
      <w:r w:rsidRPr="00BE5F6F">
        <w:rPr>
          <w:rFonts w:ascii="Arial" w:hAnsi="Arial" w:cs="Arial"/>
          <w:sz w:val="20"/>
          <w:szCs w:val="20"/>
        </w:rPr>
        <w:t xml:space="preserve">, Application no. </w:t>
      </w:r>
      <w:hyperlink r:id="rId2" w:anchor="{&quot;appno&quot;:[&quot;29392/95&quot;]}" w:tgtFrame="_blank" w:history="1">
        <w:r w:rsidRPr="00BE5F6F">
          <w:rPr>
            <w:rFonts w:ascii="Arial" w:hAnsi="Arial" w:cs="Arial"/>
            <w:sz w:val="20"/>
            <w:szCs w:val="20"/>
          </w:rPr>
          <w:t>29392/95</w:t>
        </w:r>
      </w:hyperlink>
      <w:r w:rsidRPr="00BE5F6F">
        <w:rPr>
          <w:rFonts w:ascii="Arial" w:hAnsi="Arial" w:cs="Arial"/>
          <w:sz w:val="20"/>
          <w:szCs w:val="20"/>
        </w:rPr>
        <w:t>, Judgment of 2001, paras. 91</w:t>
      </w:r>
      <w:r w:rsidRPr="00BE5F6F">
        <w:rPr>
          <w:rFonts w:ascii="Arial" w:hAnsi="Arial" w:cs="Arial"/>
          <w:sz w:val="20"/>
          <w:szCs w:val="20"/>
        </w:rPr>
        <w:noBreakHyphen/>
        <w:t xml:space="preserve">93; and </w:t>
      </w:r>
      <w:r w:rsidRPr="00BE5F6F">
        <w:rPr>
          <w:rFonts w:ascii="Arial" w:hAnsi="Arial" w:cs="Arial"/>
          <w:i/>
          <w:sz w:val="20"/>
          <w:szCs w:val="20"/>
        </w:rPr>
        <w:t>Kreuz v. Poland</w:t>
      </w:r>
      <w:r w:rsidRPr="00BE5F6F">
        <w:rPr>
          <w:rFonts w:ascii="Arial" w:hAnsi="Arial" w:cs="Arial"/>
          <w:sz w:val="20"/>
          <w:szCs w:val="20"/>
        </w:rPr>
        <w:t xml:space="preserve">, Application no. </w:t>
      </w:r>
      <w:hyperlink r:id="rId3" w:anchor="{&quot;appno&quot;:[&quot;28249/95&quot;]}" w:tgtFrame="_blank" w:history="1">
        <w:r w:rsidRPr="00BE5F6F">
          <w:rPr>
            <w:rFonts w:ascii="Arial" w:hAnsi="Arial" w:cs="Arial"/>
            <w:sz w:val="20"/>
            <w:szCs w:val="20"/>
          </w:rPr>
          <w:t>28249/95</w:t>
        </w:r>
      </w:hyperlink>
      <w:r w:rsidRPr="00BE5F6F">
        <w:rPr>
          <w:rFonts w:ascii="Arial" w:hAnsi="Arial" w:cs="Arial"/>
          <w:sz w:val="20"/>
          <w:szCs w:val="20"/>
        </w:rPr>
        <w:t xml:space="preserve">, Judgment of 2001, para. 52; </w:t>
      </w:r>
      <w:r w:rsidRPr="00BE5F6F">
        <w:rPr>
          <w:rFonts w:ascii="Arial" w:hAnsi="Arial" w:cs="Arial"/>
          <w:i/>
          <w:sz w:val="20"/>
          <w:szCs w:val="20"/>
        </w:rPr>
        <w:t>Stankov v. Bulgaria</w:t>
      </w:r>
      <w:r w:rsidRPr="00BE5F6F">
        <w:rPr>
          <w:rFonts w:ascii="Arial" w:hAnsi="Arial" w:cs="Arial"/>
          <w:sz w:val="20"/>
          <w:szCs w:val="20"/>
        </w:rPr>
        <w:t xml:space="preserve">, Application no. 68490/01, Judgment of 12 July XX, para. 52;  </w:t>
      </w:r>
      <w:r w:rsidRPr="00BE5F6F">
        <w:rPr>
          <w:rFonts w:ascii="Arial" w:hAnsi="Arial" w:cs="Arial"/>
          <w:i/>
          <w:sz w:val="20"/>
          <w:szCs w:val="20"/>
        </w:rPr>
        <w:t>Kreuz v. Poland</w:t>
      </w:r>
      <w:r w:rsidRPr="00BE5F6F">
        <w:rPr>
          <w:rFonts w:ascii="Arial" w:hAnsi="Arial" w:cs="Arial"/>
          <w:sz w:val="20"/>
          <w:szCs w:val="20"/>
        </w:rPr>
        <w:t xml:space="preserve">, cited above, para. 60; </w:t>
      </w:r>
      <w:r w:rsidRPr="00BE5F6F">
        <w:rPr>
          <w:rFonts w:ascii="Arial" w:hAnsi="Arial" w:cs="Arial"/>
          <w:i/>
          <w:sz w:val="20"/>
          <w:szCs w:val="20"/>
        </w:rPr>
        <w:t>Harrison McKee v. Hungary</w:t>
      </w:r>
      <w:r w:rsidRPr="00BE5F6F">
        <w:rPr>
          <w:rFonts w:ascii="Arial" w:hAnsi="Arial" w:cs="Arial"/>
          <w:sz w:val="20"/>
          <w:szCs w:val="20"/>
        </w:rPr>
        <w:t xml:space="preserve">, Application no. 22840/07, Judgment of 3 June 2014, para. 29; </w:t>
      </w:r>
      <w:r w:rsidRPr="00BE5F6F">
        <w:rPr>
          <w:rFonts w:ascii="Arial" w:hAnsi="Arial" w:cs="Arial"/>
          <w:i/>
          <w:sz w:val="20"/>
          <w:szCs w:val="20"/>
          <w:lang w:val="en-GB"/>
        </w:rPr>
        <w:t>Urbanek v. Austria</w:t>
      </w:r>
      <w:r w:rsidRPr="00BE5F6F">
        <w:rPr>
          <w:rFonts w:ascii="Arial" w:hAnsi="Arial" w:cs="Arial"/>
          <w:sz w:val="20"/>
          <w:szCs w:val="20"/>
          <w:lang w:val="en-GB"/>
        </w:rPr>
        <w:t xml:space="preserve">, Application no. 35123/05, Judgment of 9 December 2010, paras. 55-56.  </w:t>
      </w:r>
    </w:p>
  </w:footnote>
  <w:footnote w:id="20">
    <w:p w14:paraId="47355F73" w14:textId="77777777" w:rsidR="002956E1" w:rsidRPr="00BE5F6F" w:rsidRDefault="002956E1" w:rsidP="00BE5F6F">
      <w:pPr>
        <w:pStyle w:val="FootnoteText"/>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w:t>
      </w:r>
      <w:r w:rsidRPr="00BE5F6F">
        <w:rPr>
          <w:rFonts w:ascii="Arial" w:hAnsi="Arial" w:cs="Arial"/>
          <w:i/>
          <w:sz w:val="20"/>
          <w:szCs w:val="20"/>
        </w:rPr>
        <w:t>Y. against EULEX</w:t>
      </w:r>
      <w:r w:rsidRPr="00BE5F6F">
        <w:rPr>
          <w:rFonts w:ascii="Arial" w:hAnsi="Arial" w:cs="Arial"/>
          <w:sz w:val="20"/>
          <w:szCs w:val="20"/>
        </w:rPr>
        <w:t xml:space="preserve">, 2011-28, 15 November 2012, para. 35, and its references to </w:t>
      </w:r>
      <w:r w:rsidRPr="00BE5F6F">
        <w:rPr>
          <w:rFonts w:ascii="Arial" w:hAnsi="Arial" w:cs="Arial"/>
          <w:i/>
          <w:sz w:val="20"/>
          <w:szCs w:val="20"/>
        </w:rPr>
        <w:t>Lafit Hajan against EULEX</w:t>
      </w:r>
      <w:r w:rsidRPr="00BE5F6F">
        <w:rPr>
          <w:rFonts w:ascii="Arial" w:hAnsi="Arial" w:cs="Arial"/>
          <w:sz w:val="20"/>
          <w:szCs w:val="20"/>
        </w:rPr>
        <w:t>, 2010-06, 14 September 2011.</w:t>
      </w:r>
    </w:p>
  </w:footnote>
  <w:footnote w:id="21">
    <w:p w14:paraId="659B873B" w14:textId="77777777" w:rsidR="002956E1" w:rsidRPr="00BE5F6F" w:rsidRDefault="002956E1" w:rsidP="00BE5F6F">
      <w:pPr>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w:t>
      </w:r>
      <w:r w:rsidRPr="00BE5F6F">
        <w:rPr>
          <w:rFonts w:ascii="Arial" w:hAnsi="Arial" w:cs="Arial"/>
          <w:i/>
          <w:sz w:val="20"/>
          <w:szCs w:val="20"/>
        </w:rPr>
        <w:t>Novica Trajkovic against EULEX</w:t>
      </w:r>
      <w:r w:rsidRPr="00BE5F6F">
        <w:rPr>
          <w:rFonts w:ascii="Arial" w:hAnsi="Arial" w:cs="Arial"/>
          <w:sz w:val="20"/>
          <w:szCs w:val="20"/>
        </w:rPr>
        <w:t xml:space="preserve">, 2011-12, 23 November  2011, para. 12 </w:t>
      </w:r>
    </w:p>
  </w:footnote>
  <w:footnote w:id="22">
    <w:p w14:paraId="1A9FD514" w14:textId="77777777" w:rsidR="002956E1" w:rsidRPr="00BE5F6F" w:rsidRDefault="002956E1" w:rsidP="00BE5F6F">
      <w:pPr>
        <w:pStyle w:val="FootnoteText"/>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w:t>
      </w:r>
      <w:r w:rsidRPr="00BE5F6F">
        <w:rPr>
          <w:rFonts w:ascii="Arial" w:hAnsi="Arial" w:cs="Arial"/>
          <w:i/>
          <w:sz w:val="20"/>
          <w:szCs w:val="20"/>
        </w:rPr>
        <w:t>Ibid</w:t>
      </w:r>
      <w:r w:rsidRPr="00BE5F6F">
        <w:rPr>
          <w:rFonts w:ascii="Arial" w:hAnsi="Arial" w:cs="Arial"/>
          <w:sz w:val="20"/>
          <w:szCs w:val="20"/>
        </w:rPr>
        <w:t xml:space="preserve">. See also further references below. </w:t>
      </w:r>
    </w:p>
  </w:footnote>
  <w:footnote w:id="23">
    <w:p w14:paraId="1FAE5447" w14:textId="77777777" w:rsidR="002956E1" w:rsidRPr="00BE5F6F" w:rsidRDefault="002956E1" w:rsidP="00BE5F6F">
      <w:pPr>
        <w:jc w:val="both"/>
        <w:rPr>
          <w:rFonts w:ascii="Arial" w:hAnsi="Arial" w:cs="Arial"/>
          <w:sz w:val="20"/>
          <w:szCs w:val="20"/>
          <w:lang w:val="en-GB"/>
        </w:rPr>
      </w:pPr>
      <w:r w:rsidRPr="00BE5F6F">
        <w:rPr>
          <w:rStyle w:val="FootnoteReference"/>
          <w:rFonts w:ascii="Arial" w:hAnsi="Arial" w:cs="Arial"/>
          <w:sz w:val="20"/>
          <w:szCs w:val="20"/>
        </w:rPr>
        <w:footnoteRef/>
      </w:r>
      <w:r w:rsidRPr="00BE5F6F">
        <w:rPr>
          <w:rFonts w:ascii="Arial" w:hAnsi="Arial" w:cs="Arial"/>
          <w:sz w:val="20"/>
          <w:szCs w:val="20"/>
        </w:rPr>
        <w:t xml:space="preserve"> </w:t>
      </w:r>
      <w:r w:rsidRPr="00BE5F6F">
        <w:rPr>
          <w:rFonts w:ascii="Arial" w:hAnsi="Arial" w:cs="Arial"/>
          <w:i/>
          <w:sz w:val="20"/>
          <w:szCs w:val="20"/>
        </w:rPr>
        <w:t>Desenka and Stanisic,</w:t>
      </w:r>
      <w:r w:rsidRPr="00BE5F6F">
        <w:rPr>
          <w:rFonts w:ascii="Arial" w:hAnsi="Arial" w:cs="Arial"/>
          <w:sz w:val="20"/>
          <w:szCs w:val="20"/>
        </w:rPr>
        <w:t xml:space="preserve"> 2012-22, 11 November 2015, para. 54, and its references to </w:t>
      </w:r>
      <w:r w:rsidRPr="00BE5F6F">
        <w:rPr>
          <w:rFonts w:ascii="Arial" w:hAnsi="Arial" w:cs="Arial"/>
          <w:i/>
          <w:sz w:val="20"/>
          <w:szCs w:val="20"/>
        </w:rPr>
        <w:t>Krlić against EULEX</w:t>
      </w:r>
      <w:r w:rsidRPr="00BE5F6F">
        <w:rPr>
          <w:rFonts w:ascii="Arial" w:hAnsi="Arial" w:cs="Arial"/>
          <w:sz w:val="20"/>
          <w:szCs w:val="20"/>
        </w:rPr>
        <w:t>, 2012-21, 26 August 2014, para. 23</w:t>
      </w:r>
      <w:r w:rsidRPr="00BE5F6F">
        <w:rPr>
          <w:rFonts w:ascii="Arial" w:hAnsi="Arial" w:cs="Arial"/>
          <w:i/>
          <w:sz w:val="20"/>
          <w:szCs w:val="20"/>
        </w:rPr>
        <w:t>; Y against EULEX</w:t>
      </w:r>
      <w:r w:rsidRPr="00BE5F6F">
        <w:rPr>
          <w:rFonts w:ascii="Arial" w:hAnsi="Arial" w:cs="Arial"/>
          <w:sz w:val="20"/>
          <w:szCs w:val="20"/>
        </w:rPr>
        <w:t>, 2011-28, 15 November 2012, para. 35. See also</w:t>
      </w:r>
      <w:r w:rsidRPr="00BE5F6F">
        <w:rPr>
          <w:rFonts w:ascii="Arial" w:hAnsi="Arial" w:cs="Arial"/>
          <w:i/>
          <w:sz w:val="20"/>
          <w:szCs w:val="20"/>
        </w:rPr>
        <w:t xml:space="preserve"> I. against EULEX</w:t>
      </w:r>
      <w:r w:rsidRPr="00BE5F6F">
        <w:rPr>
          <w:rFonts w:ascii="Arial" w:hAnsi="Arial" w:cs="Arial"/>
          <w:sz w:val="20"/>
          <w:szCs w:val="20"/>
        </w:rPr>
        <w:t xml:space="preserve">, 2013-01, 27 November 2013, para. 12; </w:t>
      </w:r>
      <w:r w:rsidRPr="00BE5F6F">
        <w:rPr>
          <w:rFonts w:ascii="Arial" w:hAnsi="Arial" w:cs="Arial"/>
          <w:i/>
          <w:sz w:val="20"/>
          <w:szCs w:val="20"/>
        </w:rPr>
        <w:t>E against EULEX</w:t>
      </w:r>
      <w:r w:rsidRPr="00BE5F6F">
        <w:rPr>
          <w:rFonts w:ascii="Arial" w:hAnsi="Arial" w:cs="Arial"/>
          <w:sz w:val="20"/>
          <w:szCs w:val="20"/>
        </w:rPr>
        <w:t xml:space="preserve">, 2012-17, 30 August 2013, para. 20; </w:t>
      </w:r>
      <w:r w:rsidRPr="00BE5F6F">
        <w:rPr>
          <w:rFonts w:ascii="Arial" w:hAnsi="Arial" w:cs="Arial"/>
          <w:i/>
          <w:sz w:val="20"/>
          <w:szCs w:val="20"/>
        </w:rPr>
        <w:t>Y. against EULEX</w:t>
      </w:r>
      <w:r w:rsidRPr="00BE5F6F">
        <w:rPr>
          <w:rFonts w:ascii="Arial" w:hAnsi="Arial" w:cs="Arial"/>
          <w:sz w:val="20"/>
          <w:szCs w:val="20"/>
        </w:rPr>
        <w:t>, 2011-28, 15 November 2012, para. 35;</w:t>
      </w:r>
      <w:r w:rsidRPr="00BE5F6F">
        <w:rPr>
          <w:rFonts w:ascii="Arial" w:hAnsi="Arial" w:cs="Arial"/>
          <w:sz w:val="20"/>
          <w:szCs w:val="20"/>
          <w:lang w:val="en-GB"/>
        </w:rPr>
        <w:t xml:space="preserve"> </w:t>
      </w:r>
      <w:r w:rsidRPr="00BE5F6F">
        <w:rPr>
          <w:rFonts w:ascii="Arial" w:hAnsi="Arial" w:cs="Arial"/>
          <w:i/>
          <w:sz w:val="20"/>
          <w:szCs w:val="20"/>
          <w:lang w:val="en-GB"/>
        </w:rPr>
        <w:t>Krasniqi against EULEX</w:t>
      </w:r>
      <w:r w:rsidRPr="00BE5F6F">
        <w:rPr>
          <w:rFonts w:ascii="Arial" w:hAnsi="Arial" w:cs="Arial"/>
          <w:sz w:val="20"/>
          <w:szCs w:val="20"/>
          <w:lang w:val="en-GB"/>
        </w:rPr>
        <w:t xml:space="preserve">, 2014-33, 21 April 2015, para. 15; </w:t>
      </w:r>
      <w:r w:rsidRPr="00BE5F6F">
        <w:rPr>
          <w:rFonts w:ascii="Arial" w:hAnsi="Arial" w:cs="Arial"/>
          <w:i/>
          <w:sz w:val="20"/>
          <w:szCs w:val="20"/>
          <w:lang w:val="en-GB"/>
        </w:rPr>
        <w:t>Goran Becić againt EULEX</w:t>
      </w:r>
      <w:r w:rsidRPr="00BE5F6F">
        <w:rPr>
          <w:rFonts w:ascii="Arial" w:hAnsi="Arial" w:cs="Arial"/>
          <w:sz w:val="20"/>
          <w:szCs w:val="20"/>
          <w:lang w:val="en-GB"/>
        </w:rPr>
        <w:t>, 2013-03, 1 July 2014, para. 45.</w:t>
      </w:r>
    </w:p>
  </w:footnote>
  <w:footnote w:id="24">
    <w:p w14:paraId="7DE3D99E" w14:textId="77777777" w:rsidR="002956E1" w:rsidRPr="00BE5F6F" w:rsidRDefault="002956E1" w:rsidP="00BE5F6F">
      <w:pPr>
        <w:jc w:val="both"/>
        <w:rPr>
          <w:rFonts w:ascii="Arial" w:hAnsi="Arial" w:cs="Arial"/>
          <w:sz w:val="20"/>
          <w:szCs w:val="20"/>
          <w:lang w:val="en-GB"/>
        </w:rPr>
      </w:pPr>
      <w:r w:rsidRPr="00BE5F6F">
        <w:rPr>
          <w:rStyle w:val="FootnoteReference"/>
          <w:rFonts w:ascii="Arial" w:hAnsi="Arial" w:cs="Arial"/>
          <w:sz w:val="20"/>
          <w:szCs w:val="20"/>
        </w:rPr>
        <w:footnoteRef/>
      </w:r>
      <w:r w:rsidRPr="00BE5F6F">
        <w:rPr>
          <w:rFonts w:ascii="Arial" w:hAnsi="Arial" w:cs="Arial"/>
          <w:sz w:val="20"/>
          <w:szCs w:val="20"/>
        </w:rPr>
        <w:t xml:space="preserve"> </w:t>
      </w:r>
      <w:r w:rsidRPr="00BE5F6F">
        <w:rPr>
          <w:rFonts w:ascii="Arial" w:hAnsi="Arial" w:cs="Arial"/>
          <w:bCs/>
          <w:i/>
          <w:sz w:val="20"/>
          <w:szCs w:val="20"/>
          <w:lang w:val="en-GB"/>
        </w:rPr>
        <w:t>Slobodan Martinovic against EULEX</w:t>
      </w:r>
      <w:r w:rsidRPr="00BE5F6F">
        <w:rPr>
          <w:rFonts w:ascii="Arial" w:hAnsi="Arial" w:cs="Arial"/>
          <w:bCs/>
          <w:sz w:val="20"/>
          <w:szCs w:val="20"/>
          <w:lang w:val="en-GB"/>
        </w:rPr>
        <w:t xml:space="preserve">, 2011-13, 23 November 2011, para. 16, and its reference to </w:t>
      </w:r>
      <w:r w:rsidRPr="00BE5F6F">
        <w:rPr>
          <w:rFonts w:ascii="Arial" w:hAnsi="Arial" w:cs="Arial"/>
          <w:i/>
          <w:sz w:val="20"/>
          <w:szCs w:val="20"/>
        </w:rPr>
        <w:t xml:space="preserve">Sadik Thaqi v. EULEX, </w:t>
      </w:r>
      <w:r w:rsidRPr="00BE5F6F">
        <w:rPr>
          <w:rFonts w:ascii="Arial" w:hAnsi="Arial" w:cs="Arial"/>
          <w:sz w:val="20"/>
          <w:szCs w:val="20"/>
        </w:rPr>
        <w:t xml:space="preserve">2010-02, 14 September 2011, paras. 64 and 93. See also </w:t>
      </w:r>
      <w:r w:rsidRPr="00BE5F6F">
        <w:rPr>
          <w:rFonts w:ascii="Arial" w:hAnsi="Arial" w:cs="Arial"/>
          <w:i/>
          <w:sz w:val="20"/>
          <w:szCs w:val="20"/>
        </w:rPr>
        <w:t>I. against EULEX</w:t>
      </w:r>
      <w:r w:rsidRPr="00BE5F6F">
        <w:rPr>
          <w:rFonts w:ascii="Arial" w:hAnsi="Arial" w:cs="Arial"/>
          <w:sz w:val="20"/>
          <w:szCs w:val="20"/>
        </w:rPr>
        <w:t xml:space="preserve">, 2013-01, 27 November 2013, para. 13; </w:t>
      </w:r>
      <w:r w:rsidRPr="00BE5F6F">
        <w:rPr>
          <w:rFonts w:ascii="Arial" w:hAnsi="Arial" w:cs="Arial"/>
          <w:i/>
          <w:sz w:val="20"/>
          <w:szCs w:val="20"/>
        </w:rPr>
        <w:t>E against EULEX</w:t>
      </w:r>
      <w:r w:rsidRPr="00BE5F6F">
        <w:rPr>
          <w:rFonts w:ascii="Arial" w:hAnsi="Arial" w:cs="Arial"/>
          <w:sz w:val="20"/>
          <w:szCs w:val="20"/>
        </w:rPr>
        <w:t xml:space="preserve">, 2012-17, 30 August 2013, para. 21; </w:t>
      </w:r>
      <w:r w:rsidRPr="00BE5F6F">
        <w:rPr>
          <w:rFonts w:ascii="Arial" w:hAnsi="Arial" w:cs="Arial"/>
          <w:i/>
          <w:sz w:val="20"/>
          <w:szCs w:val="20"/>
          <w:lang w:val="en-GB"/>
        </w:rPr>
        <w:t>Krasniqi against EULEX</w:t>
      </w:r>
      <w:r w:rsidRPr="00BE5F6F">
        <w:rPr>
          <w:rFonts w:ascii="Arial" w:hAnsi="Arial" w:cs="Arial"/>
          <w:sz w:val="20"/>
          <w:szCs w:val="20"/>
          <w:lang w:val="en-GB"/>
        </w:rPr>
        <w:t xml:space="preserve">, 2014-33, 21 April 2015, para. 16; </w:t>
      </w:r>
      <w:r w:rsidRPr="00BE5F6F">
        <w:rPr>
          <w:rFonts w:ascii="Arial" w:hAnsi="Arial" w:cs="Arial"/>
          <w:i/>
          <w:sz w:val="20"/>
          <w:szCs w:val="20"/>
          <w:lang w:val="en-GB"/>
        </w:rPr>
        <w:t>Goran Becić againt EULEX</w:t>
      </w:r>
      <w:r w:rsidRPr="00BE5F6F">
        <w:rPr>
          <w:rFonts w:ascii="Arial" w:hAnsi="Arial" w:cs="Arial"/>
          <w:sz w:val="20"/>
          <w:szCs w:val="20"/>
          <w:lang w:val="en-GB"/>
        </w:rPr>
        <w:t xml:space="preserve">, 2013-03, 1 July 2014, para. 46; </w:t>
      </w:r>
      <w:r w:rsidRPr="00BE5F6F">
        <w:rPr>
          <w:rFonts w:ascii="Arial" w:hAnsi="Arial" w:cs="Arial"/>
          <w:i/>
          <w:sz w:val="20"/>
          <w:szCs w:val="20"/>
        </w:rPr>
        <w:t>W.D. against EULEX</w:t>
      </w:r>
      <w:r w:rsidRPr="00BE5F6F">
        <w:rPr>
          <w:rFonts w:ascii="Arial" w:hAnsi="Arial" w:cs="Arial"/>
          <w:sz w:val="20"/>
          <w:szCs w:val="20"/>
        </w:rPr>
        <w:t>, 2015-13, 1 March 2016, para. 18.</w:t>
      </w:r>
    </w:p>
    <w:p w14:paraId="29207A96" w14:textId="77777777" w:rsidR="002956E1" w:rsidRPr="00BE5F6F" w:rsidRDefault="002956E1" w:rsidP="00BE5F6F">
      <w:pPr>
        <w:pStyle w:val="FootnoteText"/>
        <w:jc w:val="both"/>
        <w:rPr>
          <w:rFonts w:ascii="Arial" w:hAnsi="Arial" w:cs="Arial"/>
          <w:sz w:val="20"/>
          <w:szCs w:val="20"/>
          <w:lang w:val="en-GB"/>
        </w:rPr>
      </w:pPr>
    </w:p>
  </w:footnote>
  <w:footnote w:id="25">
    <w:p w14:paraId="5E0B8D74" w14:textId="77777777" w:rsidR="002956E1" w:rsidRPr="00BE5F6F" w:rsidRDefault="002956E1" w:rsidP="00BE5F6F">
      <w:pPr>
        <w:pStyle w:val="FootnoteText"/>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w:t>
      </w:r>
      <w:r w:rsidRPr="00BE5F6F">
        <w:rPr>
          <w:rFonts w:ascii="Arial" w:hAnsi="Arial" w:cs="Arial"/>
          <w:i/>
          <w:sz w:val="20"/>
          <w:szCs w:val="20"/>
        </w:rPr>
        <w:t>Sadik Thaqi against EULEX</w:t>
      </w:r>
      <w:r w:rsidRPr="00BE5F6F">
        <w:rPr>
          <w:rFonts w:ascii="Arial" w:hAnsi="Arial" w:cs="Arial"/>
          <w:sz w:val="20"/>
          <w:szCs w:val="20"/>
        </w:rPr>
        <w:t xml:space="preserve">, 2010-02, 14 September 2011, paras. 52 </w:t>
      </w:r>
      <w:r w:rsidRPr="00BE5F6F">
        <w:rPr>
          <w:rFonts w:ascii="Arial" w:hAnsi="Arial" w:cs="Arial"/>
          <w:i/>
          <w:sz w:val="20"/>
          <w:szCs w:val="20"/>
        </w:rPr>
        <w:t>et seq</w:t>
      </w:r>
      <w:r w:rsidRPr="00BE5F6F">
        <w:rPr>
          <w:rFonts w:ascii="Arial" w:hAnsi="Arial" w:cs="Arial"/>
          <w:sz w:val="20"/>
          <w:szCs w:val="20"/>
        </w:rPr>
        <w:t xml:space="preserve">., and its references to </w:t>
      </w:r>
      <w:r w:rsidRPr="00BE5F6F">
        <w:rPr>
          <w:rFonts w:ascii="Arial" w:hAnsi="Arial" w:cs="Arial"/>
          <w:i/>
          <w:iCs/>
          <w:sz w:val="20"/>
          <w:szCs w:val="20"/>
        </w:rPr>
        <w:t>Merit v. Ukraine</w:t>
      </w:r>
      <w:r w:rsidRPr="00BE5F6F">
        <w:rPr>
          <w:rFonts w:ascii="Arial" w:hAnsi="Arial" w:cs="Arial"/>
          <w:sz w:val="20"/>
          <w:szCs w:val="20"/>
        </w:rPr>
        <w:t xml:space="preserve">, Application no. 66561/01, Judgment of 30 March 2004, paras. 62-63; </w:t>
      </w:r>
      <w:r w:rsidRPr="00BE5F6F">
        <w:rPr>
          <w:rFonts w:ascii="Arial" w:hAnsi="Arial" w:cs="Arial"/>
          <w:i/>
          <w:sz w:val="20"/>
          <w:szCs w:val="20"/>
        </w:rPr>
        <w:t>Nevmerzhitsky v. Ukraine</w:t>
      </w:r>
      <w:r w:rsidRPr="00BE5F6F">
        <w:rPr>
          <w:rFonts w:ascii="Arial" w:hAnsi="Arial" w:cs="Arial"/>
          <w:sz w:val="20"/>
          <w:szCs w:val="20"/>
        </w:rPr>
        <w:t>, Application no. 54825/00, Judgement of  ECHR 2005</w:t>
      </w:r>
      <w:r w:rsidRPr="00BE5F6F">
        <w:rPr>
          <w:rFonts w:ascii="Arial" w:hAnsi="Arial" w:cs="Arial"/>
          <w:sz w:val="20"/>
          <w:szCs w:val="20"/>
        </w:rPr>
        <w:noBreakHyphen/>
        <w:t xml:space="preserve">II (extracts), para125; </w:t>
      </w:r>
      <w:r w:rsidRPr="00BE5F6F">
        <w:rPr>
          <w:rFonts w:ascii="Arial" w:hAnsi="Arial" w:cs="Arial"/>
          <w:i/>
          <w:sz w:val="20"/>
          <w:szCs w:val="20"/>
        </w:rPr>
        <w:t>Niedbała v. Poland</w:t>
      </w:r>
      <w:r w:rsidRPr="00BE5F6F">
        <w:rPr>
          <w:rFonts w:ascii="Arial" w:hAnsi="Arial" w:cs="Arial"/>
          <w:sz w:val="20"/>
          <w:szCs w:val="20"/>
        </w:rPr>
        <w:t xml:space="preserve">, Application no. 27915/95, Judgment of 4 July 2000, para. 53; </w:t>
      </w:r>
      <w:r w:rsidRPr="00BE5F6F">
        <w:rPr>
          <w:rFonts w:ascii="Arial" w:hAnsi="Arial" w:cs="Arial"/>
          <w:i/>
          <w:iCs/>
          <w:sz w:val="20"/>
          <w:szCs w:val="20"/>
        </w:rPr>
        <w:t>Schiesser v. Switzerland</w:t>
      </w:r>
      <w:r w:rsidRPr="00BE5F6F">
        <w:rPr>
          <w:rFonts w:ascii="Arial" w:hAnsi="Arial" w:cs="Arial"/>
          <w:sz w:val="20"/>
          <w:szCs w:val="20"/>
        </w:rPr>
        <w:t xml:space="preserve">, Application no. XX, judgment of 4 December 1979, Series A no. 34, pp. 12-17, paras. 27-41; </w:t>
      </w:r>
      <w:r w:rsidRPr="00BE5F6F">
        <w:rPr>
          <w:rFonts w:ascii="Arial" w:hAnsi="Arial" w:cs="Arial"/>
          <w:i/>
          <w:sz w:val="20"/>
          <w:szCs w:val="20"/>
        </w:rPr>
        <w:t>Zlínstat, spol. s.r.o., v. Bulgaria</w:t>
      </w:r>
      <w:r w:rsidRPr="00BE5F6F">
        <w:rPr>
          <w:rFonts w:ascii="Arial" w:hAnsi="Arial" w:cs="Arial"/>
          <w:sz w:val="20"/>
          <w:szCs w:val="20"/>
        </w:rPr>
        <w:t xml:space="preserve">, Application no. 57785/00, Judgment of  15 June 2006, para. 78.   </w:t>
      </w:r>
    </w:p>
  </w:footnote>
  <w:footnote w:id="26">
    <w:p w14:paraId="7C3E877C" w14:textId="77777777" w:rsidR="002956E1" w:rsidRPr="00BE5F6F" w:rsidRDefault="002956E1" w:rsidP="00BE5F6F">
      <w:pPr>
        <w:pStyle w:val="FootnoteText"/>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w:t>
      </w:r>
      <w:r w:rsidRPr="00BE5F6F">
        <w:rPr>
          <w:rFonts w:ascii="Arial" w:hAnsi="Arial" w:cs="Arial"/>
          <w:i/>
          <w:sz w:val="20"/>
          <w:szCs w:val="20"/>
        </w:rPr>
        <w:t>Samedin Smajli against EULEX</w:t>
      </w:r>
      <w:r w:rsidRPr="00BE5F6F">
        <w:rPr>
          <w:rFonts w:ascii="Arial" w:hAnsi="Arial" w:cs="Arial"/>
          <w:sz w:val="20"/>
          <w:szCs w:val="20"/>
        </w:rPr>
        <w:t xml:space="preserve">, 2011-15, 23 November 2011, para. 16. </w:t>
      </w:r>
      <w:r w:rsidRPr="00BE5F6F">
        <w:rPr>
          <w:rFonts w:ascii="Arial" w:hAnsi="Arial" w:cs="Arial"/>
          <w:sz w:val="20"/>
          <w:szCs w:val="20"/>
          <w:lang w:val="en-GB"/>
        </w:rPr>
        <w:t xml:space="preserve">See also </w:t>
      </w:r>
      <w:r w:rsidRPr="00BE5F6F">
        <w:rPr>
          <w:rFonts w:ascii="Arial" w:hAnsi="Arial" w:cs="Arial"/>
          <w:i/>
          <w:sz w:val="20"/>
          <w:szCs w:val="20"/>
          <w:lang w:val="en-GB"/>
        </w:rPr>
        <w:t>Z against EULEX</w:t>
      </w:r>
      <w:r w:rsidRPr="00BE5F6F">
        <w:rPr>
          <w:rFonts w:ascii="Arial" w:hAnsi="Arial" w:cs="Arial"/>
          <w:sz w:val="20"/>
          <w:szCs w:val="20"/>
          <w:lang w:val="en-GB"/>
        </w:rPr>
        <w:t xml:space="preserve">, 2012-06, 10 April 2013, para. 33; </w:t>
      </w:r>
      <w:r w:rsidRPr="00BE5F6F">
        <w:rPr>
          <w:rFonts w:ascii="Arial" w:hAnsi="Arial" w:cs="Arial"/>
          <w:i/>
          <w:sz w:val="20"/>
          <w:szCs w:val="20"/>
          <w:lang w:val="en-GB"/>
        </w:rPr>
        <w:t>Thaqi v. EULEX</w:t>
      </w:r>
      <w:r w:rsidRPr="00BE5F6F">
        <w:rPr>
          <w:rFonts w:ascii="Arial" w:hAnsi="Arial" w:cs="Arial"/>
          <w:sz w:val="20"/>
          <w:szCs w:val="20"/>
          <w:lang w:val="en-GB"/>
        </w:rPr>
        <w:t>, 2010-02, 14 September 2011, para. 93.</w:t>
      </w:r>
    </w:p>
  </w:footnote>
  <w:footnote w:id="27">
    <w:p w14:paraId="05E092EA" w14:textId="77777777" w:rsidR="002956E1" w:rsidRPr="00BE5F6F" w:rsidRDefault="002956E1" w:rsidP="00BE5F6F">
      <w:pPr>
        <w:pStyle w:val="FootnoteText"/>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For an illustration, see, generally, </w:t>
      </w:r>
      <w:r w:rsidRPr="00BE5F6F">
        <w:rPr>
          <w:rFonts w:ascii="Arial" w:hAnsi="Arial" w:cs="Arial"/>
          <w:i/>
          <w:sz w:val="20"/>
          <w:szCs w:val="20"/>
        </w:rPr>
        <w:t>Maksutaj against EULEX</w:t>
      </w:r>
      <w:r w:rsidRPr="00BE5F6F">
        <w:rPr>
          <w:rFonts w:ascii="Arial" w:hAnsi="Arial" w:cs="Arial"/>
          <w:sz w:val="20"/>
          <w:szCs w:val="20"/>
        </w:rPr>
        <w:t xml:space="preserve">, 2014-18, 12 November 2015, paras. 38-40: </w:t>
      </w:r>
    </w:p>
    <w:p w14:paraId="1370E005" w14:textId="77777777" w:rsidR="002956E1" w:rsidRPr="00BE5F6F" w:rsidRDefault="002956E1" w:rsidP="00BE5F6F">
      <w:pPr>
        <w:suppressAutoHyphens/>
        <w:autoSpaceDE w:val="0"/>
        <w:ind w:left="720"/>
        <w:jc w:val="both"/>
        <w:rPr>
          <w:rFonts w:ascii="Arial" w:hAnsi="Arial" w:cs="Arial"/>
          <w:color w:val="000000"/>
          <w:sz w:val="20"/>
          <w:szCs w:val="20"/>
          <w:lang w:val="en-GB"/>
        </w:rPr>
      </w:pPr>
      <w:r w:rsidRPr="00BE5F6F">
        <w:rPr>
          <w:rFonts w:ascii="Arial" w:hAnsi="Arial" w:cs="Arial"/>
          <w:i/>
          <w:sz w:val="20"/>
          <w:szCs w:val="20"/>
        </w:rPr>
        <w:t>“</w:t>
      </w:r>
      <w:r w:rsidRPr="00BE5F6F">
        <w:rPr>
          <w:rFonts w:ascii="Arial" w:hAnsi="Arial" w:cs="Arial"/>
          <w:sz w:val="20"/>
          <w:szCs w:val="20"/>
        </w:rPr>
        <w:t>45.</w:t>
      </w:r>
      <w:r w:rsidRPr="00BE5F6F">
        <w:rPr>
          <w:rFonts w:ascii="Arial" w:hAnsi="Arial" w:cs="Arial"/>
          <w:color w:val="000000"/>
          <w:sz w:val="20"/>
          <w:szCs w:val="20"/>
        </w:rPr>
        <w:t>Notwithstanding the above considerations, the Panel reiterates what it has already held on numerous occasions. In certain circumstances its jurisdiction would cover decisions and acts of the investigative authorities in criminal investigations even when they were subject to a subsequent judicial review. The Panel is of the view that it would have jurisdiction to examine such acts and decisions where the subject matter of acts and decisions subject to such review touches on human rights issues such as, for example, the right to personal liberty and security within the meaning of Article 5 of the Convention. However, the Panel would only intervene if and where allegations of human rights violations attributed to the prosecutor have not been fully addressed by the competent judicial authorities. […]. The Panel sees no reason why this principle should not apply to actions of EULEX police as well.</w:t>
      </w:r>
    </w:p>
    <w:p w14:paraId="6C4EDE74" w14:textId="77777777" w:rsidR="002956E1" w:rsidRPr="00BE5F6F" w:rsidRDefault="002956E1" w:rsidP="00BE5F6F">
      <w:pPr>
        <w:suppressAutoHyphens/>
        <w:autoSpaceDE w:val="0"/>
        <w:ind w:left="720"/>
        <w:jc w:val="both"/>
        <w:rPr>
          <w:rFonts w:ascii="Arial" w:hAnsi="Arial" w:cs="Arial"/>
          <w:color w:val="000000"/>
          <w:sz w:val="20"/>
          <w:szCs w:val="20"/>
          <w:lang w:val="en-GB"/>
        </w:rPr>
      </w:pPr>
      <w:r w:rsidRPr="00BE5F6F">
        <w:rPr>
          <w:rFonts w:ascii="Arial" w:hAnsi="Arial" w:cs="Arial"/>
          <w:color w:val="000000"/>
          <w:sz w:val="20"/>
          <w:szCs w:val="20"/>
          <w:lang w:val="en-GB"/>
        </w:rPr>
        <w:t>46.Turning to the circumstances of the present case, the Panel observes that the complainants were brought before the Pristina Court for Minor Offences on 8 January 2013 and released in the evening of the day. That court was therefore given an opportunity to examine whether their arrest was lawful and justified in the circumstances. However, neither party has submitted to the Panel, in support of their arguments, a copy of any relevant document.</w:t>
      </w:r>
    </w:p>
    <w:p w14:paraId="28B902A6" w14:textId="77777777" w:rsidR="002956E1" w:rsidRPr="00BE5F6F" w:rsidRDefault="002956E1" w:rsidP="00BE5F6F">
      <w:pPr>
        <w:pStyle w:val="FootnoteText"/>
        <w:ind w:left="709"/>
        <w:jc w:val="both"/>
        <w:rPr>
          <w:rFonts w:ascii="Arial" w:hAnsi="Arial" w:cs="Arial"/>
          <w:sz w:val="20"/>
          <w:szCs w:val="20"/>
        </w:rPr>
      </w:pPr>
      <w:r w:rsidRPr="00BE5F6F">
        <w:rPr>
          <w:rFonts w:ascii="Arial" w:hAnsi="Arial" w:cs="Arial"/>
          <w:color w:val="000000"/>
          <w:sz w:val="20"/>
          <w:szCs w:val="20"/>
          <w:lang w:val="en-GB"/>
        </w:rPr>
        <w:t>47.Having regard to the fact that the complaint made under Article 5 of the Convention has not been properly substantiated by any document crucial to the examination whether the detention complained of was lawful and justified and, consequently, whether the actions of EULEX in this connection were compliant with the standards determined by this provision, the Panel finds it manifestly ill-founded.  ”</w:t>
      </w:r>
    </w:p>
    <w:p w14:paraId="5CA7738B" w14:textId="77777777" w:rsidR="002956E1" w:rsidRPr="00BE5F6F" w:rsidRDefault="002956E1" w:rsidP="00BE5F6F">
      <w:pPr>
        <w:pStyle w:val="FootnoteText"/>
        <w:jc w:val="both"/>
        <w:rPr>
          <w:rFonts w:ascii="Arial" w:hAnsi="Arial" w:cs="Arial"/>
          <w:sz w:val="20"/>
          <w:szCs w:val="20"/>
        </w:rPr>
      </w:pPr>
    </w:p>
    <w:p w14:paraId="1F088226" w14:textId="77777777" w:rsidR="002956E1" w:rsidRPr="00BE5F6F" w:rsidRDefault="002956E1" w:rsidP="00BE5F6F">
      <w:pPr>
        <w:pStyle w:val="FootnoteText"/>
        <w:jc w:val="both"/>
        <w:rPr>
          <w:rFonts w:ascii="Arial" w:hAnsi="Arial" w:cs="Arial"/>
          <w:sz w:val="20"/>
          <w:szCs w:val="20"/>
        </w:rPr>
      </w:pPr>
      <w:r w:rsidRPr="00BE5F6F">
        <w:rPr>
          <w:rFonts w:ascii="Arial" w:hAnsi="Arial" w:cs="Arial"/>
          <w:sz w:val="20"/>
          <w:szCs w:val="20"/>
        </w:rPr>
        <w:t xml:space="preserve">See also and its references to </w:t>
      </w:r>
      <w:r w:rsidRPr="00BE5F6F">
        <w:rPr>
          <w:rFonts w:ascii="Arial" w:hAnsi="Arial" w:cs="Arial"/>
          <w:i/>
          <w:sz w:val="20"/>
          <w:szCs w:val="20"/>
          <w:lang w:val="en-GB"/>
        </w:rPr>
        <w:t>B.Y against EULEX,</w:t>
      </w:r>
      <w:r w:rsidRPr="00BE5F6F">
        <w:rPr>
          <w:rFonts w:ascii="Arial" w:hAnsi="Arial" w:cs="Arial"/>
          <w:sz w:val="20"/>
          <w:szCs w:val="20"/>
          <w:lang w:val="en-GB"/>
        </w:rPr>
        <w:t xml:space="preserve"> 2014-06, para. 12;</w:t>
      </w:r>
      <w:r w:rsidRPr="00BE5F6F">
        <w:rPr>
          <w:rFonts w:ascii="Arial" w:hAnsi="Arial" w:cs="Arial"/>
          <w:sz w:val="20"/>
          <w:szCs w:val="20"/>
        </w:rPr>
        <w:t xml:space="preserve"> </w:t>
      </w:r>
      <w:r w:rsidRPr="00BE5F6F">
        <w:rPr>
          <w:rFonts w:ascii="Arial" w:hAnsi="Arial" w:cs="Arial"/>
          <w:i/>
          <w:sz w:val="20"/>
          <w:szCs w:val="20"/>
        </w:rPr>
        <w:t>I against EULEX</w:t>
      </w:r>
      <w:r w:rsidRPr="00BE5F6F">
        <w:rPr>
          <w:rFonts w:ascii="Arial" w:hAnsi="Arial" w:cs="Arial"/>
          <w:sz w:val="20"/>
          <w:szCs w:val="20"/>
        </w:rPr>
        <w:t xml:space="preserve">, 2013-01, 27 November 2013, para. 12; </w:t>
      </w:r>
      <w:r w:rsidRPr="00BE5F6F">
        <w:rPr>
          <w:rFonts w:ascii="Arial" w:hAnsi="Arial" w:cs="Arial"/>
          <w:i/>
          <w:sz w:val="20"/>
          <w:szCs w:val="20"/>
        </w:rPr>
        <w:t>E against EULEX</w:t>
      </w:r>
      <w:r w:rsidRPr="00BE5F6F">
        <w:rPr>
          <w:rFonts w:ascii="Arial" w:hAnsi="Arial" w:cs="Arial"/>
          <w:sz w:val="20"/>
          <w:szCs w:val="20"/>
        </w:rPr>
        <w:t xml:space="preserve">, 2012-17, 30 August 2013, paras. 20-22; </w:t>
      </w:r>
      <w:r w:rsidRPr="00BE5F6F">
        <w:rPr>
          <w:rFonts w:ascii="Arial" w:hAnsi="Arial" w:cs="Arial"/>
          <w:i/>
          <w:sz w:val="20"/>
          <w:szCs w:val="20"/>
        </w:rPr>
        <w:t>Z against EULEX</w:t>
      </w:r>
      <w:r w:rsidRPr="00BE5F6F">
        <w:rPr>
          <w:rFonts w:ascii="Arial" w:hAnsi="Arial" w:cs="Arial"/>
          <w:sz w:val="20"/>
          <w:szCs w:val="20"/>
        </w:rPr>
        <w:t xml:space="preserve">, 2012-06, 10 April 2013, para. 32; </w:t>
      </w:r>
      <w:r w:rsidRPr="00BE5F6F">
        <w:rPr>
          <w:rFonts w:ascii="Arial" w:hAnsi="Arial" w:cs="Arial"/>
          <w:i/>
          <w:sz w:val="20"/>
          <w:szCs w:val="20"/>
        </w:rPr>
        <w:t>W against EULEX</w:t>
      </w:r>
      <w:r w:rsidRPr="00BE5F6F">
        <w:rPr>
          <w:rFonts w:ascii="Arial" w:hAnsi="Arial" w:cs="Arial"/>
          <w:sz w:val="20"/>
          <w:szCs w:val="20"/>
        </w:rPr>
        <w:t xml:space="preserve">, 2011-07, 5 October 2012, para. 21; </w:t>
      </w:r>
      <w:r w:rsidRPr="00BE5F6F">
        <w:rPr>
          <w:rFonts w:ascii="Arial" w:hAnsi="Arial" w:cs="Arial"/>
          <w:i/>
          <w:sz w:val="20"/>
          <w:szCs w:val="20"/>
        </w:rPr>
        <w:t>Hoxha against EULEX</w:t>
      </w:r>
      <w:r w:rsidRPr="00BE5F6F">
        <w:rPr>
          <w:rFonts w:ascii="Arial" w:hAnsi="Arial" w:cs="Arial"/>
          <w:sz w:val="20"/>
          <w:szCs w:val="20"/>
        </w:rPr>
        <w:t xml:space="preserve">, 2011-18, 23 November 2011, para. 22; </w:t>
      </w:r>
      <w:r w:rsidRPr="00BE5F6F">
        <w:rPr>
          <w:rFonts w:ascii="Arial" w:hAnsi="Arial" w:cs="Arial"/>
          <w:i/>
          <w:sz w:val="20"/>
          <w:szCs w:val="20"/>
        </w:rPr>
        <w:t>S.M. against EULEX</w:t>
      </w:r>
      <w:r w:rsidRPr="00BE5F6F">
        <w:rPr>
          <w:rFonts w:ascii="Arial" w:hAnsi="Arial" w:cs="Arial"/>
          <w:sz w:val="20"/>
          <w:szCs w:val="20"/>
        </w:rPr>
        <w:t xml:space="preserve">, 2011-11, 23 November 2011, para.15; </w:t>
      </w:r>
      <w:r w:rsidRPr="00BE5F6F">
        <w:rPr>
          <w:rFonts w:ascii="Arial" w:hAnsi="Arial" w:cs="Arial"/>
          <w:i/>
          <w:sz w:val="20"/>
          <w:szCs w:val="20"/>
          <w:lang w:val="en-GB"/>
        </w:rPr>
        <w:t>Sadik Thaqi v. EULEX</w:t>
      </w:r>
      <w:r w:rsidRPr="00BE5F6F">
        <w:rPr>
          <w:rFonts w:ascii="Arial" w:hAnsi="Arial" w:cs="Arial"/>
          <w:sz w:val="20"/>
          <w:szCs w:val="20"/>
          <w:lang w:val="en-GB"/>
        </w:rPr>
        <w:t>, 2010-02, para. 64.</w:t>
      </w:r>
      <w:r w:rsidRPr="00BE5F6F">
        <w:rPr>
          <w:rFonts w:ascii="Arial" w:hAnsi="Arial" w:cs="Arial"/>
          <w:sz w:val="20"/>
          <w:szCs w:val="20"/>
        </w:rPr>
        <w:t xml:space="preserve">  </w:t>
      </w:r>
    </w:p>
  </w:footnote>
  <w:footnote w:id="28">
    <w:p w14:paraId="2475BFCD" w14:textId="77777777" w:rsidR="002956E1" w:rsidRPr="00BE5F6F" w:rsidRDefault="002956E1" w:rsidP="00BE5F6F">
      <w:pPr>
        <w:pStyle w:val="FootnoteText"/>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w:t>
      </w:r>
      <w:r w:rsidRPr="00BE5F6F">
        <w:rPr>
          <w:rFonts w:ascii="Arial" w:hAnsi="Arial" w:cs="Arial"/>
          <w:i/>
          <w:sz w:val="20"/>
          <w:szCs w:val="20"/>
        </w:rPr>
        <w:t>K, L, M, N, O, P, Q, R, S &amp; T (K to T) against EULEX</w:t>
      </w:r>
      <w:r w:rsidRPr="00BE5F6F">
        <w:rPr>
          <w:rFonts w:ascii="Arial" w:hAnsi="Arial" w:cs="Arial"/>
          <w:sz w:val="20"/>
          <w:szCs w:val="20"/>
        </w:rPr>
        <w:t xml:space="preserve">, 2013-05 to 2013-14, 21 April 2015, paras. 45-47, and its reference to </w:t>
      </w:r>
      <w:r w:rsidRPr="00BE5F6F">
        <w:rPr>
          <w:rFonts w:ascii="Arial" w:hAnsi="Arial" w:cs="Arial"/>
          <w:i/>
          <w:color w:val="000000"/>
          <w:sz w:val="20"/>
          <w:szCs w:val="20"/>
        </w:rPr>
        <w:t xml:space="preserve">Z against EULEX, </w:t>
      </w:r>
      <w:r w:rsidRPr="00BE5F6F">
        <w:rPr>
          <w:rFonts w:ascii="Arial" w:hAnsi="Arial" w:cs="Arial"/>
          <w:color w:val="000000"/>
          <w:sz w:val="20"/>
          <w:szCs w:val="20"/>
        </w:rPr>
        <w:t>2012-06</w:t>
      </w:r>
      <w:r w:rsidRPr="00BE5F6F">
        <w:rPr>
          <w:rFonts w:ascii="Arial" w:hAnsi="Arial" w:cs="Arial"/>
          <w:i/>
          <w:color w:val="000000"/>
          <w:sz w:val="20"/>
          <w:szCs w:val="20"/>
        </w:rPr>
        <w:t xml:space="preserve">, </w:t>
      </w:r>
      <w:r w:rsidRPr="00BE5F6F">
        <w:rPr>
          <w:rFonts w:ascii="Arial" w:hAnsi="Arial" w:cs="Arial"/>
          <w:color w:val="000000"/>
          <w:sz w:val="20"/>
          <w:szCs w:val="20"/>
        </w:rPr>
        <w:t>10 April 2013, para. 34</w:t>
      </w:r>
      <w:r w:rsidRPr="00BE5F6F">
        <w:rPr>
          <w:rFonts w:ascii="Arial" w:hAnsi="Arial" w:cs="Arial"/>
          <w:sz w:val="20"/>
          <w:szCs w:val="20"/>
        </w:rPr>
        <w:t xml:space="preserve">. </w:t>
      </w:r>
      <w:r w:rsidRPr="00BE5F6F">
        <w:rPr>
          <w:rFonts w:ascii="Arial" w:hAnsi="Arial" w:cs="Arial"/>
          <w:color w:val="000000"/>
          <w:sz w:val="20"/>
          <w:szCs w:val="20"/>
          <w:lang w:val="en-GB"/>
        </w:rPr>
        <w:t>See also</w:t>
      </w:r>
      <w:r w:rsidRPr="00BE5F6F">
        <w:rPr>
          <w:rFonts w:ascii="Arial" w:hAnsi="Arial" w:cs="Arial"/>
          <w:bCs/>
          <w:sz w:val="20"/>
          <w:szCs w:val="20"/>
          <w:lang w:val="en-GB"/>
        </w:rPr>
        <w:t xml:space="preserve"> </w:t>
      </w:r>
      <w:r w:rsidRPr="00BE5F6F">
        <w:rPr>
          <w:rFonts w:ascii="Arial" w:hAnsi="Arial" w:cs="Arial"/>
          <w:bCs/>
          <w:i/>
          <w:sz w:val="20"/>
          <w:szCs w:val="20"/>
          <w:lang w:val="en-GB"/>
        </w:rPr>
        <w:t>Kazagic Djeljalj against EULEX</w:t>
      </w:r>
      <w:r w:rsidRPr="00BE5F6F">
        <w:rPr>
          <w:rFonts w:ascii="Arial" w:hAnsi="Arial" w:cs="Arial"/>
          <w:bCs/>
          <w:sz w:val="20"/>
          <w:szCs w:val="20"/>
          <w:lang w:val="en-GB"/>
        </w:rPr>
        <w:t xml:space="preserve">, 2010-01, 8 April 2011, paras. 45-47; </w:t>
      </w:r>
      <w:r w:rsidRPr="00BE5F6F">
        <w:rPr>
          <w:rFonts w:ascii="Arial" w:hAnsi="Arial" w:cs="Arial"/>
          <w:i/>
          <w:sz w:val="20"/>
          <w:szCs w:val="20"/>
        </w:rPr>
        <w:t>W.D. against EULEX</w:t>
      </w:r>
      <w:r w:rsidRPr="00BE5F6F">
        <w:rPr>
          <w:rFonts w:ascii="Arial" w:hAnsi="Arial" w:cs="Arial"/>
          <w:sz w:val="20"/>
          <w:szCs w:val="20"/>
        </w:rPr>
        <w:t xml:space="preserve">, 2015-13, 1 March 2016, para. 17; </w:t>
      </w:r>
      <w:r w:rsidRPr="00BE5F6F">
        <w:rPr>
          <w:rFonts w:ascii="Arial" w:hAnsi="Arial" w:cs="Arial"/>
          <w:i/>
          <w:sz w:val="20"/>
          <w:szCs w:val="20"/>
        </w:rPr>
        <w:t>E against EULEX</w:t>
      </w:r>
      <w:r w:rsidRPr="00BE5F6F">
        <w:rPr>
          <w:rFonts w:ascii="Arial" w:hAnsi="Arial" w:cs="Arial"/>
          <w:sz w:val="20"/>
          <w:szCs w:val="20"/>
        </w:rPr>
        <w:t xml:space="preserve">, 2012-17, 30 August 2013, para. 22; </w:t>
      </w:r>
      <w:r w:rsidRPr="00BE5F6F">
        <w:rPr>
          <w:rFonts w:ascii="Arial" w:hAnsi="Arial" w:cs="Arial"/>
          <w:i/>
          <w:sz w:val="20"/>
          <w:szCs w:val="20"/>
          <w:lang w:val="en-GB"/>
        </w:rPr>
        <w:t>Krasniqi against EULEX</w:t>
      </w:r>
      <w:r w:rsidRPr="00BE5F6F">
        <w:rPr>
          <w:rFonts w:ascii="Arial" w:hAnsi="Arial" w:cs="Arial"/>
          <w:sz w:val="20"/>
          <w:szCs w:val="20"/>
          <w:lang w:val="en-GB"/>
        </w:rPr>
        <w:t>, 2014-33, 21 April 2015, para. 17;</w:t>
      </w:r>
    </w:p>
  </w:footnote>
  <w:footnote w:id="29">
    <w:p w14:paraId="544BE6B3" w14:textId="77777777" w:rsidR="002956E1" w:rsidRPr="00BE5F6F" w:rsidRDefault="002956E1" w:rsidP="00BE5F6F">
      <w:pPr>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See e.g. </w:t>
      </w:r>
      <w:r w:rsidRPr="00BE5F6F">
        <w:rPr>
          <w:rFonts w:ascii="Arial" w:hAnsi="Arial" w:cs="Arial"/>
          <w:i/>
          <w:sz w:val="20"/>
          <w:szCs w:val="20"/>
        </w:rPr>
        <w:t>W.D. against EULEX</w:t>
      </w:r>
      <w:r w:rsidRPr="00BE5F6F">
        <w:rPr>
          <w:rFonts w:ascii="Arial" w:hAnsi="Arial" w:cs="Arial"/>
          <w:sz w:val="20"/>
          <w:szCs w:val="20"/>
        </w:rPr>
        <w:t>, 2015-13, 1 March 2016, paras. 18-19.</w:t>
      </w:r>
    </w:p>
  </w:footnote>
  <w:footnote w:id="30">
    <w:p w14:paraId="7EDE48F3" w14:textId="77777777" w:rsidR="002956E1" w:rsidRPr="00BE5F6F" w:rsidRDefault="002956E1" w:rsidP="00BE5F6F">
      <w:pPr>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w:t>
      </w:r>
      <w:r w:rsidRPr="00BE5F6F">
        <w:rPr>
          <w:rFonts w:ascii="Arial" w:hAnsi="Arial" w:cs="Arial"/>
          <w:bCs/>
          <w:i/>
          <w:sz w:val="20"/>
          <w:szCs w:val="20"/>
          <w:lang w:val="en-GB"/>
        </w:rPr>
        <w:t>Kazagic Djeljalj against EULEX</w:t>
      </w:r>
      <w:r w:rsidRPr="00BE5F6F">
        <w:rPr>
          <w:rFonts w:ascii="Arial" w:hAnsi="Arial" w:cs="Arial"/>
          <w:bCs/>
          <w:sz w:val="20"/>
          <w:szCs w:val="20"/>
          <w:lang w:val="en-GB"/>
        </w:rPr>
        <w:t xml:space="preserve">, 2010-01, 8 April 2011, paras. 73 -76. </w:t>
      </w:r>
    </w:p>
  </w:footnote>
  <w:footnote w:id="31">
    <w:p w14:paraId="30A19002" w14:textId="77777777" w:rsidR="002956E1" w:rsidRPr="00BE5F6F" w:rsidRDefault="002956E1" w:rsidP="00BE5F6F">
      <w:pPr>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See e.g.</w:t>
      </w:r>
      <w:r w:rsidRPr="00BE5F6F">
        <w:rPr>
          <w:rFonts w:ascii="Arial" w:hAnsi="Arial" w:cs="Arial"/>
          <w:b/>
          <w:sz w:val="20"/>
          <w:szCs w:val="20"/>
        </w:rPr>
        <w:t xml:space="preserve"> </w:t>
      </w:r>
      <w:r w:rsidRPr="00BE5F6F">
        <w:rPr>
          <w:rFonts w:ascii="Arial" w:hAnsi="Arial" w:cs="Arial"/>
          <w:bCs/>
          <w:i/>
          <w:sz w:val="20"/>
          <w:szCs w:val="20"/>
          <w:lang w:val="en-GB"/>
        </w:rPr>
        <w:t>Milazim Blakqori against EULEX</w:t>
      </w:r>
      <w:r w:rsidRPr="00BE5F6F">
        <w:rPr>
          <w:rFonts w:ascii="Arial" w:hAnsi="Arial" w:cs="Arial"/>
          <w:bCs/>
          <w:sz w:val="20"/>
          <w:szCs w:val="20"/>
          <w:lang w:val="en-GB"/>
        </w:rPr>
        <w:t xml:space="preserve">, 2011-06, 23 November 2011, para. 20. </w:t>
      </w:r>
    </w:p>
  </w:footnote>
  <w:footnote w:id="32">
    <w:p w14:paraId="411E6EC6" w14:textId="77777777" w:rsidR="002956E1" w:rsidRPr="00BE5F6F" w:rsidRDefault="002956E1" w:rsidP="00BE5F6F">
      <w:pPr>
        <w:pStyle w:val="FootnoteText"/>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w:t>
      </w:r>
      <w:r w:rsidRPr="00BE5F6F">
        <w:rPr>
          <w:rFonts w:ascii="Arial" w:hAnsi="Arial" w:cs="Arial"/>
          <w:i/>
          <w:sz w:val="20"/>
          <w:szCs w:val="20"/>
        </w:rPr>
        <w:t>Goran Becic againt EULEX</w:t>
      </w:r>
      <w:r w:rsidRPr="00BE5F6F">
        <w:rPr>
          <w:rFonts w:ascii="Arial" w:hAnsi="Arial" w:cs="Arial"/>
          <w:sz w:val="20"/>
          <w:szCs w:val="20"/>
        </w:rPr>
        <w:t xml:space="preserve">, 2013-03, 1 July 2014, para. 46 </w:t>
      </w:r>
      <w:r w:rsidRPr="00BE5F6F">
        <w:rPr>
          <w:rFonts w:ascii="Arial" w:hAnsi="Arial" w:cs="Arial"/>
          <w:i/>
          <w:sz w:val="20"/>
          <w:szCs w:val="20"/>
        </w:rPr>
        <w:t>et seq</w:t>
      </w:r>
      <w:r w:rsidRPr="00BE5F6F">
        <w:rPr>
          <w:rFonts w:ascii="Arial" w:hAnsi="Arial" w:cs="Arial"/>
          <w:sz w:val="20"/>
          <w:szCs w:val="20"/>
        </w:rPr>
        <w:t xml:space="preserve">, and it references to </w:t>
      </w:r>
      <w:r w:rsidRPr="00BE5F6F">
        <w:rPr>
          <w:rFonts w:ascii="Arial" w:hAnsi="Arial" w:cs="Arial"/>
          <w:i/>
          <w:color w:val="000000"/>
          <w:sz w:val="20"/>
          <w:szCs w:val="20"/>
          <w:lang w:val="en-GB"/>
        </w:rPr>
        <w:t>Thaqi v. EULEX</w:t>
      </w:r>
      <w:r w:rsidRPr="00BE5F6F">
        <w:rPr>
          <w:rFonts w:ascii="Arial" w:hAnsi="Arial" w:cs="Arial"/>
          <w:color w:val="000000"/>
          <w:sz w:val="20"/>
          <w:szCs w:val="20"/>
          <w:lang w:val="en-GB"/>
        </w:rPr>
        <w:t xml:space="preserve">, 2010-02, 14 September 2011, para. 64; </w:t>
      </w:r>
      <w:r w:rsidRPr="00BE5F6F">
        <w:rPr>
          <w:rFonts w:ascii="Arial" w:hAnsi="Arial" w:cs="Arial"/>
          <w:i/>
          <w:color w:val="000000"/>
          <w:sz w:val="20"/>
          <w:szCs w:val="20"/>
          <w:lang w:val="en-GB"/>
        </w:rPr>
        <w:t>Z against EULEX</w:t>
      </w:r>
      <w:r w:rsidRPr="00BE5F6F">
        <w:rPr>
          <w:rFonts w:ascii="Arial" w:hAnsi="Arial" w:cs="Arial"/>
          <w:color w:val="000000"/>
          <w:sz w:val="20"/>
          <w:szCs w:val="20"/>
          <w:lang w:val="en-GB"/>
        </w:rPr>
        <w:t xml:space="preserve">, 2012-06, 10 April 2013, para. 33; </w:t>
      </w:r>
      <w:r w:rsidRPr="00BE5F6F">
        <w:rPr>
          <w:rFonts w:ascii="Arial" w:hAnsi="Arial" w:cs="Arial"/>
          <w:i/>
          <w:color w:val="000000"/>
          <w:sz w:val="20"/>
          <w:szCs w:val="20"/>
          <w:lang w:val="en-GB"/>
        </w:rPr>
        <w:t>Thaqi v. EULEX</w:t>
      </w:r>
      <w:r w:rsidRPr="00BE5F6F">
        <w:rPr>
          <w:rFonts w:ascii="Arial" w:hAnsi="Arial" w:cs="Arial"/>
          <w:color w:val="000000"/>
          <w:sz w:val="20"/>
          <w:szCs w:val="20"/>
          <w:lang w:val="en-GB"/>
        </w:rPr>
        <w:t xml:space="preserve">, 2010-02, 14 September 2011, para. 93. </w:t>
      </w:r>
    </w:p>
  </w:footnote>
  <w:footnote w:id="33">
    <w:p w14:paraId="478C77CC" w14:textId="77777777" w:rsidR="002956E1" w:rsidRPr="00BE5F6F" w:rsidRDefault="002956E1" w:rsidP="00BE5F6F">
      <w:pPr>
        <w:pStyle w:val="FootnoteText"/>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w:t>
      </w:r>
      <w:r w:rsidRPr="00BE5F6F">
        <w:rPr>
          <w:rFonts w:ascii="Arial" w:hAnsi="Arial" w:cs="Arial"/>
          <w:i/>
          <w:sz w:val="20"/>
          <w:szCs w:val="20"/>
        </w:rPr>
        <w:t>Goran Becić againt EULEX</w:t>
      </w:r>
      <w:r w:rsidRPr="00BE5F6F">
        <w:rPr>
          <w:rFonts w:ascii="Arial" w:hAnsi="Arial" w:cs="Arial"/>
          <w:sz w:val="20"/>
          <w:szCs w:val="20"/>
        </w:rPr>
        <w:t>, 2013-03, 12 November 2014, paras. 58-60</w:t>
      </w:r>
    </w:p>
  </w:footnote>
  <w:footnote w:id="34">
    <w:p w14:paraId="72DCAD17" w14:textId="77777777" w:rsidR="002956E1" w:rsidRPr="00BE5F6F" w:rsidRDefault="002956E1" w:rsidP="00BE5F6F">
      <w:pPr>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w:t>
      </w:r>
      <w:r w:rsidRPr="00BE5F6F">
        <w:rPr>
          <w:rFonts w:ascii="Arial" w:hAnsi="Arial" w:cs="Arial"/>
          <w:bCs/>
          <w:i/>
          <w:sz w:val="20"/>
          <w:szCs w:val="20"/>
          <w:lang w:val="en-GB"/>
        </w:rPr>
        <w:t>Mykereme Hoxha against EULEX</w:t>
      </w:r>
      <w:r w:rsidRPr="00BE5F6F">
        <w:rPr>
          <w:rFonts w:ascii="Arial" w:hAnsi="Arial" w:cs="Arial"/>
          <w:bCs/>
          <w:sz w:val="20"/>
          <w:szCs w:val="20"/>
          <w:lang w:val="en-GB"/>
        </w:rPr>
        <w:t>, 2011-18 23 November 2011, paras. 23-24.</w:t>
      </w:r>
    </w:p>
  </w:footnote>
  <w:footnote w:id="35">
    <w:p w14:paraId="16E93F59" w14:textId="77777777" w:rsidR="002956E1" w:rsidRPr="00BE5F6F" w:rsidRDefault="002956E1" w:rsidP="00BE5F6F">
      <w:pPr>
        <w:pStyle w:val="FootnoteText"/>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w:t>
      </w:r>
      <w:r w:rsidRPr="00BE5F6F">
        <w:rPr>
          <w:rFonts w:ascii="Arial" w:hAnsi="Arial" w:cs="Arial"/>
          <w:i/>
          <w:sz w:val="20"/>
          <w:szCs w:val="20"/>
        </w:rPr>
        <w:t>I. against EULEX</w:t>
      </w:r>
      <w:r w:rsidRPr="00BE5F6F">
        <w:rPr>
          <w:rFonts w:ascii="Arial" w:hAnsi="Arial" w:cs="Arial"/>
          <w:sz w:val="20"/>
          <w:szCs w:val="20"/>
        </w:rPr>
        <w:t>, 2013-01, 27 November 2013, paras. 14-15.</w:t>
      </w:r>
    </w:p>
  </w:footnote>
  <w:footnote w:id="36">
    <w:p w14:paraId="0DD93256" w14:textId="46C2637B" w:rsidR="00674489" w:rsidRPr="00BE5F6F" w:rsidRDefault="00674489" w:rsidP="00BE5F6F">
      <w:pPr>
        <w:pStyle w:val="FootnoteText"/>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A similar standard would also apply in principle to assessing the conduct of the police. See, e.g., </w:t>
      </w:r>
      <w:r w:rsidRPr="00BE5F6F">
        <w:rPr>
          <w:rFonts w:ascii="Arial" w:hAnsi="Arial" w:cs="Arial"/>
          <w:i/>
          <w:sz w:val="20"/>
          <w:szCs w:val="20"/>
        </w:rPr>
        <w:t>H and G against EULEX</w:t>
      </w:r>
      <w:r w:rsidRPr="00BE5F6F">
        <w:rPr>
          <w:rFonts w:ascii="Arial" w:hAnsi="Arial" w:cs="Arial"/>
          <w:sz w:val="20"/>
          <w:szCs w:val="20"/>
        </w:rPr>
        <w:t xml:space="preserve"> before the Panel. </w:t>
      </w:r>
    </w:p>
  </w:footnote>
  <w:footnote w:id="37">
    <w:p w14:paraId="0D2FF3B4" w14:textId="77777777" w:rsidR="002956E1" w:rsidRPr="00BE5F6F" w:rsidRDefault="002956E1" w:rsidP="00BE5F6F">
      <w:pPr>
        <w:pStyle w:val="FootnoteText"/>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w:t>
      </w:r>
      <w:r w:rsidRPr="00BE5F6F">
        <w:rPr>
          <w:rFonts w:ascii="Arial" w:hAnsi="Arial" w:cs="Arial"/>
          <w:i/>
          <w:sz w:val="20"/>
          <w:szCs w:val="20"/>
        </w:rPr>
        <w:t>B.Y. against EULEX</w:t>
      </w:r>
      <w:r w:rsidRPr="00BE5F6F">
        <w:rPr>
          <w:rFonts w:ascii="Arial" w:hAnsi="Arial" w:cs="Arial"/>
          <w:sz w:val="20"/>
          <w:szCs w:val="20"/>
        </w:rPr>
        <w:t>, 2014-06, 27 May 2014, pars 14 et seq</w:t>
      </w:r>
    </w:p>
  </w:footnote>
  <w:footnote w:id="38">
    <w:p w14:paraId="03A506FA" w14:textId="77777777" w:rsidR="002956E1" w:rsidRPr="00BE5F6F" w:rsidRDefault="002956E1" w:rsidP="00BE5F6F">
      <w:pPr>
        <w:pStyle w:val="FootnoteText"/>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w:t>
      </w:r>
      <w:r w:rsidRPr="00BE5F6F">
        <w:rPr>
          <w:rFonts w:ascii="Arial" w:hAnsi="Arial" w:cs="Arial"/>
          <w:bCs/>
          <w:i/>
          <w:sz w:val="20"/>
          <w:szCs w:val="20"/>
          <w:lang w:val="en-GB"/>
        </w:rPr>
        <w:t>Sadiku-Syla against EULEX,</w:t>
      </w:r>
      <w:r w:rsidRPr="00BE5F6F">
        <w:rPr>
          <w:rFonts w:ascii="Arial" w:hAnsi="Arial" w:cs="Arial"/>
          <w:bCs/>
          <w:sz w:val="20"/>
          <w:szCs w:val="20"/>
          <w:lang w:val="en-GB"/>
        </w:rPr>
        <w:t xml:space="preserve"> 2014-34, 29 September 2015, para. 61 and its reference to </w:t>
      </w:r>
      <w:r w:rsidRPr="00BE5F6F">
        <w:rPr>
          <w:rFonts w:ascii="Arial" w:hAnsi="Arial" w:cs="Arial"/>
          <w:i/>
          <w:sz w:val="20"/>
          <w:szCs w:val="20"/>
        </w:rPr>
        <w:t>Becić against EULEX</w:t>
      </w:r>
      <w:r w:rsidRPr="00BE5F6F">
        <w:rPr>
          <w:rFonts w:ascii="Arial" w:hAnsi="Arial" w:cs="Arial"/>
          <w:sz w:val="20"/>
          <w:szCs w:val="20"/>
        </w:rPr>
        <w:t>, 2013-03, 12 November 2014, paras. 58–60.</w:t>
      </w:r>
      <w:r w:rsidRPr="00BE5F6F">
        <w:rPr>
          <w:rFonts w:ascii="Arial" w:hAnsi="Arial" w:cs="Arial"/>
          <w:bCs/>
          <w:sz w:val="20"/>
          <w:szCs w:val="20"/>
          <w:lang w:val="en-GB"/>
        </w:rPr>
        <w:t xml:space="preserve"> </w:t>
      </w:r>
    </w:p>
  </w:footnote>
  <w:footnote w:id="39">
    <w:p w14:paraId="6D095C57" w14:textId="77777777" w:rsidR="002956E1" w:rsidRPr="00BE5F6F" w:rsidRDefault="002956E1" w:rsidP="00BE5F6F">
      <w:pPr>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See e.g. </w:t>
      </w:r>
      <w:r w:rsidRPr="00BE5F6F">
        <w:rPr>
          <w:rFonts w:ascii="Arial" w:hAnsi="Arial" w:cs="Arial"/>
          <w:i/>
          <w:sz w:val="20"/>
          <w:szCs w:val="20"/>
        </w:rPr>
        <w:t>Z against EULEX</w:t>
      </w:r>
      <w:r w:rsidRPr="00BE5F6F">
        <w:rPr>
          <w:rFonts w:ascii="Arial" w:hAnsi="Arial" w:cs="Arial"/>
          <w:sz w:val="20"/>
          <w:szCs w:val="20"/>
        </w:rPr>
        <w:t xml:space="preserve">, 2012-06, 10 April 2013, pars 43-44: </w:t>
      </w:r>
    </w:p>
    <w:p w14:paraId="1B28664D" w14:textId="77777777" w:rsidR="002956E1" w:rsidRPr="00BE5F6F" w:rsidRDefault="002956E1" w:rsidP="00BE5F6F">
      <w:pPr>
        <w:jc w:val="both"/>
        <w:rPr>
          <w:rFonts w:ascii="Arial" w:hAnsi="Arial" w:cs="Arial"/>
          <w:sz w:val="20"/>
          <w:szCs w:val="20"/>
        </w:rPr>
      </w:pPr>
    </w:p>
    <w:p w14:paraId="77E952A3" w14:textId="77777777" w:rsidR="002956E1" w:rsidRPr="00BE5F6F" w:rsidRDefault="002956E1" w:rsidP="00BE5F6F">
      <w:pPr>
        <w:pStyle w:val="ListParagraph"/>
        <w:suppressAutoHyphens/>
        <w:autoSpaceDE w:val="0"/>
        <w:jc w:val="both"/>
        <w:rPr>
          <w:rFonts w:ascii="Arial" w:hAnsi="Arial" w:cs="Arial"/>
          <w:sz w:val="20"/>
          <w:szCs w:val="20"/>
        </w:rPr>
      </w:pPr>
      <w:r w:rsidRPr="00BE5F6F">
        <w:rPr>
          <w:rFonts w:ascii="Arial" w:hAnsi="Arial" w:cs="Arial"/>
          <w:sz w:val="20"/>
          <w:szCs w:val="20"/>
        </w:rPr>
        <w:t xml:space="preserve">“43.The Panel observes that the complainant did not specify who, in his view, was responsible for the insufficient access to the case file, the prosecuting authorities or the courts.  In its opinion the Panel would have jurisdiction to examine this complaint has it been shown that the prosecuting authorities were responsible for any alleged shortcoming (see paragraphs 31 - 32 above) or that the applicant had raised this complaint expressly before the courts which failed to respond to it (see paragraph 34 above).  </w:t>
      </w:r>
    </w:p>
    <w:p w14:paraId="4D144009" w14:textId="77777777" w:rsidR="002956E1" w:rsidRPr="00BE5F6F" w:rsidRDefault="002956E1" w:rsidP="00BE5F6F">
      <w:pPr>
        <w:pStyle w:val="FootnoteText"/>
        <w:ind w:left="709"/>
        <w:jc w:val="both"/>
        <w:rPr>
          <w:rFonts w:ascii="Arial" w:hAnsi="Arial" w:cs="Arial"/>
          <w:sz w:val="20"/>
          <w:szCs w:val="20"/>
        </w:rPr>
      </w:pPr>
      <w:r w:rsidRPr="00BE5F6F">
        <w:rPr>
          <w:rFonts w:ascii="Arial" w:hAnsi="Arial" w:cs="Arial"/>
          <w:sz w:val="20"/>
          <w:szCs w:val="20"/>
        </w:rPr>
        <w:t>44.However, in the absence of any indication of the evidence which was, in the complainant’s view, essential for challenging effectively the need for his detention, and, crucially, having regard to the fact that the complainant has not shown that he raised this issue in his appeals, expressly or in essence, thus giving the courts an opportunity to address it, the Panel is of the view that it lacks jurisdiction to examine this part of the complaint.”</w:t>
      </w:r>
    </w:p>
  </w:footnote>
  <w:footnote w:id="40">
    <w:p w14:paraId="1CE966D3" w14:textId="77777777" w:rsidR="002956E1" w:rsidRPr="00BE5F6F" w:rsidRDefault="002956E1" w:rsidP="00BE5F6F">
      <w:pPr>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w:t>
      </w:r>
      <w:r w:rsidRPr="00BE5F6F">
        <w:rPr>
          <w:rFonts w:ascii="Arial" w:hAnsi="Arial" w:cs="Arial"/>
          <w:i/>
          <w:sz w:val="20"/>
          <w:szCs w:val="20"/>
        </w:rPr>
        <w:t>E against EULEX</w:t>
      </w:r>
      <w:r w:rsidRPr="00BE5F6F">
        <w:rPr>
          <w:rFonts w:ascii="Arial" w:hAnsi="Arial" w:cs="Arial"/>
          <w:sz w:val="20"/>
          <w:szCs w:val="20"/>
        </w:rPr>
        <w:t xml:space="preserve">, 2012-17, 30 August 2013, par 22. Regarding the concrete application of that principle, see, for instance, </w:t>
      </w:r>
      <w:r w:rsidRPr="00BE5F6F">
        <w:rPr>
          <w:rFonts w:ascii="Arial" w:hAnsi="Arial" w:cs="Arial"/>
          <w:i/>
          <w:sz w:val="20"/>
          <w:szCs w:val="20"/>
        </w:rPr>
        <w:t>E against EULEX, 2012-17</w:t>
      </w:r>
      <w:r w:rsidRPr="00BE5F6F">
        <w:rPr>
          <w:rFonts w:ascii="Arial" w:hAnsi="Arial" w:cs="Arial"/>
          <w:sz w:val="20"/>
          <w:szCs w:val="20"/>
        </w:rPr>
        <w:t xml:space="preserve">, 30 August 2013, pars 23 </w:t>
      </w:r>
      <w:r w:rsidRPr="00BE5F6F">
        <w:rPr>
          <w:rFonts w:ascii="Arial" w:hAnsi="Arial" w:cs="Arial"/>
          <w:i/>
          <w:sz w:val="20"/>
          <w:szCs w:val="20"/>
        </w:rPr>
        <w:t>et seq</w:t>
      </w:r>
      <w:r w:rsidRPr="00BE5F6F">
        <w:rPr>
          <w:rFonts w:ascii="Arial" w:hAnsi="Arial" w:cs="Arial"/>
          <w:sz w:val="20"/>
          <w:szCs w:val="20"/>
        </w:rPr>
        <w:t xml:space="preserve">: </w:t>
      </w:r>
    </w:p>
    <w:p w14:paraId="411A600E" w14:textId="77777777" w:rsidR="002956E1" w:rsidRPr="00BE5F6F" w:rsidRDefault="002956E1" w:rsidP="00BE5F6F">
      <w:pPr>
        <w:jc w:val="both"/>
        <w:rPr>
          <w:rFonts w:ascii="Arial" w:hAnsi="Arial" w:cs="Arial"/>
          <w:sz w:val="20"/>
          <w:szCs w:val="20"/>
        </w:rPr>
      </w:pPr>
    </w:p>
    <w:p w14:paraId="2BE3C3CA" w14:textId="77777777" w:rsidR="002956E1" w:rsidRPr="00BE5F6F" w:rsidRDefault="002956E1" w:rsidP="00BE5F6F">
      <w:pPr>
        <w:ind w:left="720"/>
        <w:jc w:val="both"/>
        <w:rPr>
          <w:rFonts w:ascii="Arial" w:hAnsi="Arial" w:cs="Arial"/>
          <w:sz w:val="20"/>
          <w:szCs w:val="20"/>
        </w:rPr>
      </w:pPr>
      <w:r w:rsidRPr="00BE5F6F">
        <w:rPr>
          <w:rFonts w:ascii="Arial" w:hAnsi="Arial" w:cs="Arial"/>
          <w:sz w:val="20"/>
          <w:szCs w:val="20"/>
        </w:rPr>
        <w:t xml:space="preserve">“23.As regards the present case, the Panel notes that the complainant challenges the decisions given by the courts in respect of his detention and the compatibility of these decisions with relevant human rights standards, in particular a right to personal liberty and security guaranteed by Article 5 of the Convention. </w:t>
      </w:r>
    </w:p>
    <w:p w14:paraId="5BDAF9E4" w14:textId="77777777" w:rsidR="002956E1" w:rsidRPr="00BE5F6F" w:rsidRDefault="002956E1" w:rsidP="00BE5F6F">
      <w:pPr>
        <w:ind w:left="720"/>
        <w:jc w:val="both"/>
        <w:rPr>
          <w:rFonts w:ascii="Arial" w:hAnsi="Arial" w:cs="Arial"/>
          <w:sz w:val="20"/>
          <w:szCs w:val="20"/>
        </w:rPr>
      </w:pPr>
      <w:r w:rsidRPr="00BE5F6F">
        <w:rPr>
          <w:rFonts w:ascii="Arial" w:hAnsi="Arial" w:cs="Arial"/>
          <w:sz w:val="20"/>
          <w:szCs w:val="20"/>
        </w:rPr>
        <w:t>24.The Panel observes that all decisions regarding the complainant’s detention were rendered by competent judicial authorities at the request of the prosecutor. The courts were given an opportunity to fully examine the prosecutor’s arguments for the complainant’s detention. Moreover, at least on one occasion, the decision was appealed against by the complainant and his appeal was examined by a panel of three judges who dismissed that appeal. The complainant has not identified any human rights issue that he was unable to raise with the court or that the court failed to properly address (see</w:t>
      </w:r>
      <w:r w:rsidRPr="00BE5F6F">
        <w:rPr>
          <w:rFonts w:ascii="Arial" w:hAnsi="Arial" w:cs="Arial"/>
          <w:i/>
          <w:sz w:val="20"/>
          <w:szCs w:val="20"/>
        </w:rPr>
        <w:t xml:space="preserve"> Z against EULEX</w:t>
      </w:r>
      <w:r w:rsidRPr="00BE5F6F">
        <w:rPr>
          <w:rFonts w:ascii="Arial" w:hAnsi="Arial" w:cs="Arial"/>
          <w:sz w:val="20"/>
          <w:szCs w:val="20"/>
        </w:rPr>
        <w:t>, quoted above, par. 34).</w:t>
      </w:r>
    </w:p>
    <w:p w14:paraId="7AB1940A" w14:textId="77777777" w:rsidR="002956E1" w:rsidRPr="00BE5F6F" w:rsidRDefault="002956E1" w:rsidP="00BE5F6F">
      <w:pPr>
        <w:ind w:left="709"/>
        <w:jc w:val="both"/>
        <w:rPr>
          <w:rFonts w:ascii="Arial" w:hAnsi="Arial" w:cs="Arial"/>
          <w:sz w:val="20"/>
          <w:szCs w:val="20"/>
        </w:rPr>
      </w:pPr>
      <w:r w:rsidRPr="00BE5F6F">
        <w:rPr>
          <w:rFonts w:ascii="Arial" w:hAnsi="Arial" w:cs="Arial"/>
          <w:sz w:val="20"/>
          <w:szCs w:val="20"/>
        </w:rPr>
        <w:t>[...]</w:t>
      </w:r>
    </w:p>
    <w:p w14:paraId="09893946" w14:textId="77777777" w:rsidR="002956E1" w:rsidRPr="00BE5F6F" w:rsidRDefault="002956E1" w:rsidP="00BE5F6F">
      <w:pPr>
        <w:ind w:left="720"/>
        <w:jc w:val="both"/>
        <w:rPr>
          <w:rFonts w:ascii="Arial" w:hAnsi="Arial" w:cs="Arial"/>
          <w:color w:val="000000"/>
          <w:sz w:val="20"/>
          <w:szCs w:val="20"/>
        </w:rPr>
      </w:pPr>
      <w:r w:rsidRPr="00BE5F6F">
        <w:rPr>
          <w:rFonts w:ascii="Arial" w:hAnsi="Arial" w:cs="Arial"/>
          <w:sz w:val="20"/>
          <w:szCs w:val="20"/>
        </w:rPr>
        <w:t>26.Consequently, having regard to the fact that the complainant’s detention was imposed by the court and that its lawfulness was subsequently reviewed on appeal, the Panel lacks jurisdiction to examine complaints pertaining to the manner in which the Pejë/Peć District Court examined its lawfulness.</w:t>
      </w:r>
    </w:p>
    <w:p w14:paraId="7066ECCC" w14:textId="77777777" w:rsidR="002956E1" w:rsidRPr="00BE5F6F" w:rsidRDefault="002956E1" w:rsidP="00BE5F6F">
      <w:pPr>
        <w:ind w:left="720"/>
        <w:jc w:val="both"/>
        <w:rPr>
          <w:rFonts w:ascii="Arial" w:hAnsi="Arial" w:cs="Arial"/>
          <w:sz w:val="20"/>
          <w:szCs w:val="20"/>
        </w:rPr>
      </w:pPr>
      <w:r w:rsidRPr="00BE5F6F">
        <w:rPr>
          <w:rFonts w:ascii="Arial" w:hAnsi="Arial" w:cs="Arial"/>
          <w:sz w:val="20"/>
          <w:szCs w:val="20"/>
        </w:rPr>
        <w:t>27.This aspect of the complaint will, therefore, not be reviewed by the Panel, as formulated in Rule 25 of its Rules of Procedure and the OPLAN of EULEX Kosovo.”</w:t>
      </w:r>
    </w:p>
    <w:p w14:paraId="37973B0E" w14:textId="77777777" w:rsidR="002956E1" w:rsidRPr="00BE5F6F" w:rsidRDefault="002956E1" w:rsidP="00BE5F6F">
      <w:pPr>
        <w:ind w:left="720"/>
        <w:jc w:val="both"/>
        <w:rPr>
          <w:rFonts w:ascii="Arial" w:hAnsi="Arial" w:cs="Arial"/>
          <w:sz w:val="20"/>
          <w:szCs w:val="20"/>
        </w:rPr>
      </w:pPr>
    </w:p>
    <w:p w14:paraId="3FC1661F" w14:textId="77777777" w:rsidR="002956E1" w:rsidRPr="00BE5F6F" w:rsidRDefault="002956E1" w:rsidP="00BE5F6F">
      <w:pPr>
        <w:suppressAutoHyphens/>
        <w:autoSpaceDE w:val="0"/>
        <w:jc w:val="both"/>
        <w:rPr>
          <w:rFonts w:ascii="Arial" w:hAnsi="Arial" w:cs="Arial"/>
          <w:sz w:val="20"/>
          <w:szCs w:val="20"/>
          <w:lang w:val="en-GB"/>
        </w:rPr>
      </w:pPr>
      <w:r w:rsidRPr="00BE5F6F">
        <w:rPr>
          <w:rFonts w:ascii="Arial" w:hAnsi="Arial" w:cs="Arial"/>
          <w:sz w:val="20"/>
          <w:szCs w:val="20"/>
        </w:rPr>
        <w:t xml:space="preserve">See also </w:t>
      </w:r>
      <w:r w:rsidRPr="00BE5F6F">
        <w:rPr>
          <w:rFonts w:ascii="Arial" w:hAnsi="Arial" w:cs="Arial"/>
          <w:i/>
          <w:sz w:val="20"/>
          <w:szCs w:val="20"/>
        </w:rPr>
        <w:t>Z against EULEX</w:t>
      </w:r>
      <w:r w:rsidRPr="00BE5F6F">
        <w:rPr>
          <w:rFonts w:ascii="Arial" w:hAnsi="Arial" w:cs="Arial"/>
          <w:sz w:val="20"/>
          <w:szCs w:val="20"/>
        </w:rPr>
        <w:t xml:space="preserve">, 2012-06, 10 April 2013, par. 34; </w:t>
      </w:r>
      <w:r w:rsidRPr="00BE5F6F">
        <w:rPr>
          <w:rFonts w:ascii="Arial" w:hAnsi="Arial" w:cs="Arial"/>
          <w:i/>
          <w:sz w:val="20"/>
          <w:szCs w:val="20"/>
          <w:lang w:val="en-GB"/>
        </w:rPr>
        <w:t>Krasniqi against EULEX</w:t>
      </w:r>
      <w:r w:rsidRPr="00BE5F6F">
        <w:rPr>
          <w:rFonts w:ascii="Arial" w:hAnsi="Arial" w:cs="Arial"/>
          <w:sz w:val="20"/>
          <w:szCs w:val="20"/>
          <w:lang w:val="en-GB"/>
        </w:rPr>
        <w:t xml:space="preserve">, 2014-33, 21 April 2015, pars 15 </w:t>
      </w:r>
      <w:r w:rsidRPr="00BE5F6F">
        <w:rPr>
          <w:rFonts w:ascii="Arial" w:hAnsi="Arial" w:cs="Arial"/>
          <w:i/>
          <w:sz w:val="20"/>
          <w:szCs w:val="20"/>
          <w:lang w:val="en-GB"/>
        </w:rPr>
        <w:t>et seq</w:t>
      </w:r>
      <w:r w:rsidRPr="00BE5F6F">
        <w:rPr>
          <w:rFonts w:ascii="Arial" w:hAnsi="Arial" w:cs="Arial"/>
          <w:sz w:val="20"/>
          <w:szCs w:val="20"/>
          <w:lang w:val="en-GB"/>
        </w:rPr>
        <w:t xml:space="preserve">, in particulars par 18-21: </w:t>
      </w:r>
    </w:p>
    <w:p w14:paraId="79778B86" w14:textId="77777777" w:rsidR="002956E1" w:rsidRPr="00BE5F6F" w:rsidRDefault="002956E1" w:rsidP="00BE5F6F">
      <w:pPr>
        <w:ind w:left="720"/>
        <w:jc w:val="both"/>
        <w:rPr>
          <w:rFonts w:ascii="Arial" w:hAnsi="Arial" w:cs="Arial"/>
          <w:sz w:val="20"/>
          <w:szCs w:val="20"/>
          <w:lang w:val="en-GB"/>
        </w:rPr>
      </w:pPr>
      <w:r w:rsidRPr="00BE5F6F">
        <w:rPr>
          <w:rFonts w:ascii="Arial" w:hAnsi="Arial" w:cs="Arial"/>
          <w:sz w:val="20"/>
          <w:szCs w:val="20"/>
          <w:lang w:val="en-GB"/>
        </w:rPr>
        <w:t xml:space="preserve">“18.As regards the present case, the Panel notes that the complainant challenges the decisions given by the Basic Court of Pristina and the Constitutional Court in respect of access to his case file compiled by the prosecution and the compatibility of these decisions with relevant human rights standards, in particular the procedural guarantees of the right to liberty guaranteed by Articles 5 par.4 of the Convention. </w:t>
      </w:r>
    </w:p>
    <w:p w14:paraId="7A3092D4" w14:textId="77777777" w:rsidR="002956E1" w:rsidRPr="00BE5F6F" w:rsidRDefault="002956E1" w:rsidP="00BE5F6F">
      <w:pPr>
        <w:ind w:left="720"/>
        <w:jc w:val="both"/>
        <w:rPr>
          <w:rFonts w:ascii="Arial" w:hAnsi="Arial" w:cs="Arial"/>
          <w:sz w:val="20"/>
          <w:szCs w:val="20"/>
          <w:lang w:val="en-GB"/>
        </w:rPr>
      </w:pPr>
      <w:r w:rsidRPr="00BE5F6F">
        <w:rPr>
          <w:rFonts w:ascii="Arial" w:hAnsi="Arial" w:cs="Arial"/>
          <w:sz w:val="20"/>
          <w:szCs w:val="20"/>
          <w:lang w:val="en-GB"/>
        </w:rPr>
        <w:t xml:space="preserve">19.The Panel observes that all decisions regarding the complainant’s case file were rendered by competent judicial authorities upon his request. The courts were given an opportunity to fully examine both the complainant’s and the prosecutor’s arguments. The complainant has not identified any human rights issue that he was unable to raise with the court or that the court failed to properly address (compare, </w:t>
      </w:r>
      <w:r w:rsidRPr="00BE5F6F">
        <w:rPr>
          <w:rFonts w:ascii="Arial" w:hAnsi="Arial" w:cs="Arial"/>
          <w:i/>
          <w:sz w:val="20"/>
          <w:szCs w:val="20"/>
          <w:lang w:val="en-GB"/>
        </w:rPr>
        <w:t>mutatis mutandis</w:t>
      </w:r>
      <w:r w:rsidRPr="00BE5F6F">
        <w:rPr>
          <w:rFonts w:ascii="Arial" w:hAnsi="Arial" w:cs="Arial"/>
          <w:sz w:val="20"/>
          <w:szCs w:val="20"/>
          <w:lang w:val="en-GB"/>
        </w:rPr>
        <w:t xml:space="preserve">, </w:t>
      </w:r>
      <w:r w:rsidRPr="00BE5F6F">
        <w:rPr>
          <w:rFonts w:ascii="Arial" w:hAnsi="Arial" w:cs="Arial"/>
          <w:i/>
          <w:sz w:val="20"/>
          <w:szCs w:val="20"/>
          <w:lang w:val="en-GB"/>
        </w:rPr>
        <w:t>E</w:t>
      </w:r>
      <w:r w:rsidRPr="00BE5F6F">
        <w:rPr>
          <w:rFonts w:ascii="Arial" w:hAnsi="Arial" w:cs="Arial"/>
          <w:sz w:val="20"/>
          <w:szCs w:val="20"/>
          <w:lang w:val="en-GB"/>
        </w:rPr>
        <w:t xml:space="preserve"> </w:t>
      </w:r>
      <w:r w:rsidRPr="00BE5F6F">
        <w:rPr>
          <w:rFonts w:ascii="Arial" w:hAnsi="Arial" w:cs="Arial"/>
          <w:i/>
          <w:sz w:val="20"/>
          <w:szCs w:val="20"/>
          <w:lang w:val="en-GB"/>
        </w:rPr>
        <w:t>against EULEX</w:t>
      </w:r>
      <w:r w:rsidRPr="00BE5F6F">
        <w:rPr>
          <w:rFonts w:ascii="Arial" w:hAnsi="Arial" w:cs="Arial"/>
          <w:sz w:val="20"/>
          <w:szCs w:val="20"/>
          <w:lang w:val="en-GB"/>
        </w:rPr>
        <w:t>, cited above, § 24;</w:t>
      </w:r>
      <w:r w:rsidRPr="00BE5F6F">
        <w:rPr>
          <w:rFonts w:ascii="Arial" w:hAnsi="Arial" w:cs="Arial"/>
          <w:i/>
          <w:sz w:val="20"/>
          <w:szCs w:val="20"/>
          <w:lang w:val="en-GB"/>
        </w:rPr>
        <w:t xml:space="preserve"> Z against EULEX</w:t>
      </w:r>
      <w:r w:rsidRPr="00BE5F6F">
        <w:rPr>
          <w:rFonts w:ascii="Arial" w:hAnsi="Arial" w:cs="Arial"/>
          <w:sz w:val="20"/>
          <w:szCs w:val="20"/>
          <w:lang w:val="en-GB"/>
        </w:rPr>
        <w:t>, cited above, § 34).</w:t>
      </w:r>
    </w:p>
    <w:p w14:paraId="347DD8A9" w14:textId="77777777" w:rsidR="002956E1" w:rsidRPr="00BE5F6F" w:rsidRDefault="002956E1" w:rsidP="00BE5F6F">
      <w:pPr>
        <w:ind w:left="720"/>
        <w:jc w:val="both"/>
        <w:rPr>
          <w:rFonts w:ascii="Arial" w:hAnsi="Arial" w:cs="Arial"/>
          <w:color w:val="000000"/>
          <w:sz w:val="20"/>
          <w:szCs w:val="20"/>
          <w:lang w:val="en-GB"/>
        </w:rPr>
      </w:pPr>
      <w:r w:rsidRPr="00BE5F6F">
        <w:rPr>
          <w:rFonts w:ascii="Arial" w:hAnsi="Arial" w:cs="Arial"/>
          <w:sz w:val="20"/>
          <w:szCs w:val="20"/>
          <w:lang w:val="en-GB"/>
        </w:rPr>
        <w:t xml:space="preserve">20.The Panel has held on numerous occasions that, according to Rule 25, paragraph 1, of its Rules of Procedure, based on the accountability concept in the OPLAN of EULEX Kosovo, it has no jurisdiction in respect of either administrative or judicial aspects of the work of Kosovo courts. The fact that EULEX judges sit on the bench does not detract from the courts the character as part of the Kosovo judiciary (see, </w:t>
      </w:r>
      <w:r w:rsidRPr="00BE5F6F">
        <w:rPr>
          <w:rFonts w:ascii="Arial" w:hAnsi="Arial" w:cs="Arial"/>
          <w:i/>
          <w:sz w:val="20"/>
          <w:szCs w:val="20"/>
          <w:lang w:val="en-GB"/>
        </w:rPr>
        <w:t>inter alia</w:t>
      </w:r>
      <w:r w:rsidRPr="00BE5F6F">
        <w:rPr>
          <w:rFonts w:ascii="Arial" w:hAnsi="Arial" w:cs="Arial"/>
          <w:sz w:val="20"/>
          <w:szCs w:val="20"/>
          <w:lang w:val="en-GB"/>
        </w:rPr>
        <w:t xml:space="preserve">, </w:t>
      </w:r>
      <w:r w:rsidRPr="00BE5F6F">
        <w:rPr>
          <w:rFonts w:ascii="Arial" w:hAnsi="Arial" w:cs="Arial"/>
          <w:i/>
          <w:sz w:val="20"/>
          <w:szCs w:val="20"/>
          <w:lang w:val="en-GB"/>
        </w:rPr>
        <w:t xml:space="preserve">Rifat Kadribasic against EULEX, </w:t>
      </w:r>
      <w:r w:rsidRPr="00BE5F6F">
        <w:rPr>
          <w:rFonts w:ascii="Arial" w:hAnsi="Arial" w:cs="Arial"/>
          <w:sz w:val="20"/>
          <w:szCs w:val="20"/>
          <w:lang w:val="en-GB"/>
        </w:rPr>
        <w:t xml:space="preserve">no. 2014-09, of 10 November 2014, § 11, </w:t>
      </w:r>
      <w:r w:rsidRPr="00BE5F6F">
        <w:rPr>
          <w:rFonts w:ascii="Arial" w:hAnsi="Arial" w:cs="Arial"/>
          <w:i/>
          <w:sz w:val="20"/>
          <w:szCs w:val="20"/>
          <w:lang w:val="en-GB"/>
        </w:rPr>
        <w:t>Shaban Kadriu against EULEX</w:t>
      </w:r>
      <w:r w:rsidRPr="00BE5F6F">
        <w:rPr>
          <w:rFonts w:ascii="Arial" w:hAnsi="Arial" w:cs="Arial"/>
          <w:sz w:val="20"/>
          <w:szCs w:val="20"/>
          <w:lang w:val="en-GB"/>
        </w:rPr>
        <w:t>, 2013-27, 27 May 2014, § 17).</w:t>
      </w:r>
    </w:p>
    <w:p w14:paraId="5AED98CB" w14:textId="77777777" w:rsidR="002956E1" w:rsidRPr="00BE5F6F" w:rsidRDefault="002956E1" w:rsidP="00BE5F6F">
      <w:pPr>
        <w:ind w:left="720"/>
        <w:jc w:val="both"/>
        <w:rPr>
          <w:rFonts w:ascii="Arial" w:hAnsi="Arial" w:cs="Arial"/>
          <w:color w:val="000000"/>
          <w:sz w:val="20"/>
          <w:szCs w:val="20"/>
          <w:lang w:val="en-GB"/>
        </w:rPr>
      </w:pPr>
      <w:r w:rsidRPr="00BE5F6F">
        <w:rPr>
          <w:rFonts w:ascii="Arial" w:hAnsi="Arial" w:cs="Arial"/>
          <w:sz w:val="20"/>
          <w:szCs w:val="20"/>
          <w:lang w:val="en-GB"/>
        </w:rPr>
        <w:t>21.Consequently, having regard to the fact that the complainant’s request to be given access to his file was fully reviewed by the courts, the Panel lacks jurisdiction to examine his complaints.</w:t>
      </w:r>
      <w:r w:rsidRPr="00BE5F6F">
        <w:rPr>
          <w:rFonts w:ascii="Arial" w:hAnsi="Arial" w:cs="Arial"/>
          <w:color w:val="000000"/>
          <w:sz w:val="20"/>
          <w:szCs w:val="20"/>
          <w:lang w:val="en-GB"/>
        </w:rPr>
        <w:t>”</w:t>
      </w:r>
    </w:p>
    <w:p w14:paraId="680B95EF" w14:textId="77777777" w:rsidR="002956E1" w:rsidRPr="00BE5F6F" w:rsidRDefault="002956E1" w:rsidP="00BE5F6F">
      <w:pPr>
        <w:ind w:left="720"/>
        <w:jc w:val="both"/>
        <w:rPr>
          <w:rFonts w:ascii="Arial" w:hAnsi="Arial" w:cs="Arial"/>
          <w:color w:val="000000"/>
          <w:sz w:val="20"/>
          <w:szCs w:val="20"/>
          <w:lang w:val="en-GB"/>
        </w:rPr>
      </w:pPr>
    </w:p>
    <w:p w14:paraId="1F83EB23" w14:textId="77777777" w:rsidR="002956E1" w:rsidRPr="00BE5F6F" w:rsidRDefault="002956E1" w:rsidP="00BE5F6F">
      <w:pPr>
        <w:jc w:val="both"/>
        <w:rPr>
          <w:rFonts w:ascii="Arial" w:hAnsi="Arial" w:cs="Arial"/>
          <w:color w:val="000000"/>
          <w:sz w:val="20"/>
          <w:szCs w:val="20"/>
          <w:lang w:val="en-GB"/>
        </w:rPr>
      </w:pPr>
      <w:r w:rsidRPr="00BE5F6F">
        <w:rPr>
          <w:rFonts w:ascii="Arial" w:hAnsi="Arial" w:cs="Arial"/>
          <w:sz w:val="20"/>
          <w:szCs w:val="20"/>
        </w:rPr>
        <w:t xml:space="preserve">See also </w:t>
      </w:r>
      <w:r w:rsidRPr="00BE5F6F">
        <w:rPr>
          <w:rFonts w:ascii="Arial" w:hAnsi="Arial" w:cs="Arial"/>
          <w:i/>
          <w:sz w:val="20"/>
          <w:szCs w:val="20"/>
        </w:rPr>
        <w:t>Y.B. against EULEX</w:t>
      </w:r>
      <w:r w:rsidRPr="00BE5F6F">
        <w:rPr>
          <w:rFonts w:ascii="Arial" w:hAnsi="Arial" w:cs="Arial"/>
          <w:sz w:val="20"/>
          <w:szCs w:val="20"/>
        </w:rPr>
        <w:t>, Case no 2014-37, Decision and Findings, 19 October 2016, par 27 (“</w:t>
      </w:r>
      <w:r w:rsidRPr="00BE5F6F">
        <w:rPr>
          <w:rFonts w:ascii="Arial" w:hAnsi="Arial" w:cs="Arial"/>
          <w:color w:val="000000"/>
          <w:sz w:val="20"/>
          <w:szCs w:val="20"/>
          <w:lang w:val="en-GB"/>
        </w:rPr>
        <w:t xml:space="preserve">Furthermore, the Panel has found that it cannot be excluded that it might be competent to evaluate the actions of EULEX prosecutors in criminal investigations even if they are subject to judicial review. The Panel would be competent to examine such acts and decisions, for instance, where the subject matter of acts and decisions subject to such review touches on human rights issues. The Panel would only intervene if and where allegations of human rights violations attributed to the prosecutor have not been fully addressed by the competent judicial authorities (see </w:t>
      </w:r>
      <w:r w:rsidRPr="00BE5F6F">
        <w:rPr>
          <w:rFonts w:ascii="Arial" w:hAnsi="Arial" w:cs="Arial"/>
          <w:i/>
          <w:color w:val="000000"/>
          <w:sz w:val="20"/>
          <w:szCs w:val="20"/>
          <w:lang w:val="en-GB"/>
        </w:rPr>
        <w:t>E against EULEX</w:t>
      </w:r>
      <w:r w:rsidRPr="00BE5F6F">
        <w:rPr>
          <w:rFonts w:ascii="Arial" w:hAnsi="Arial" w:cs="Arial"/>
          <w:color w:val="000000"/>
          <w:sz w:val="20"/>
          <w:szCs w:val="20"/>
          <w:lang w:val="en-GB"/>
        </w:rPr>
        <w:t xml:space="preserve">, 2012-17, 30 August 2013, § 22; </w:t>
      </w:r>
      <w:r w:rsidRPr="00BE5F6F">
        <w:rPr>
          <w:rFonts w:ascii="Arial" w:hAnsi="Arial" w:cs="Arial"/>
          <w:i/>
          <w:color w:val="000000"/>
          <w:sz w:val="20"/>
          <w:szCs w:val="20"/>
          <w:lang w:val="en-GB"/>
        </w:rPr>
        <w:t>Z against EULEX</w:t>
      </w:r>
      <w:r w:rsidRPr="00BE5F6F">
        <w:rPr>
          <w:rFonts w:ascii="Arial" w:hAnsi="Arial" w:cs="Arial"/>
          <w:color w:val="000000"/>
          <w:sz w:val="20"/>
          <w:szCs w:val="20"/>
          <w:lang w:val="en-GB"/>
        </w:rPr>
        <w:t>, 2012-06, 10 April 2013, § 34).”).</w:t>
      </w:r>
    </w:p>
  </w:footnote>
  <w:footnote w:id="41">
    <w:p w14:paraId="22E0541D" w14:textId="77777777" w:rsidR="002956E1" w:rsidRPr="00BE5F6F" w:rsidRDefault="002956E1" w:rsidP="00BE5F6F">
      <w:pPr>
        <w:pStyle w:val="FootnoteText"/>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w:t>
      </w:r>
      <w:r w:rsidRPr="00BE5F6F">
        <w:rPr>
          <w:rFonts w:ascii="Arial" w:hAnsi="Arial" w:cs="Arial"/>
          <w:i/>
          <w:sz w:val="20"/>
          <w:szCs w:val="20"/>
        </w:rPr>
        <w:t>Y.B. against EULEX</w:t>
      </w:r>
      <w:r w:rsidRPr="00BE5F6F">
        <w:rPr>
          <w:rFonts w:ascii="Arial" w:hAnsi="Arial" w:cs="Arial"/>
          <w:sz w:val="20"/>
          <w:szCs w:val="20"/>
        </w:rPr>
        <w:t>, Case no 2014-37, Decision and Findings, 19 October 2016, par 29.</w:t>
      </w:r>
    </w:p>
  </w:footnote>
  <w:footnote w:id="42">
    <w:p w14:paraId="1307B16F" w14:textId="77777777" w:rsidR="002956E1" w:rsidRPr="00BE5F6F" w:rsidRDefault="002956E1" w:rsidP="00BE5F6F">
      <w:pPr>
        <w:suppressAutoHyphens/>
        <w:autoSpaceDE w:val="0"/>
        <w:jc w:val="both"/>
        <w:rPr>
          <w:rFonts w:ascii="Arial" w:hAnsi="Arial" w:cs="Arial"/>
          <w:sz w:val="20"/>
          <w:szCs w:val="20"/>
          <w:lang w:val="en-GB"/>
        </w:rPr>
      </w:pPr>
      <w:r w:rsidRPr="00BE5F6F">
        <w:rPr>
          <w:rStyle w:val="FootnoteReference"/>
          <w:rFonts w:ascii="Arial" w:hAnsi="Arial" w:cs="Arial"/>
          <w:sz w:val="20"/>
          <w:szCs w:val="20"/>
        </w:rPr>
        <w:footnoteRef/>
      </w:r>
      <w:r w:rsidRPr="00BE5F6F">
        <w:rPr>
          <w:rFonts w:ascii="Arial" w:hAnsi="Arial" w:cs="Arial"/>
          <w:sz w:val="20"/>
          <w:szCs w:val="20"/>
        </w:rPr>
        <w:t xml:space="preserve"> </w:t>
      </w:r>
      <w:r w:rsidRPr="00BE5F6F">
        <w:rPr>
          <w:rFonts w:ascii="Arial" w:hAnsi="Arial" w:cs="Arial"/>
          <w:bCs/>
          <w:sz w:val="20"/>
          <w:szCs w:val="20"/>
          <w:lang w:val="en-GB"/>
        </w:rPr>
        <w:t xml:space="preserve">See e.g. </w:t>
      </w:r>
      <w:r w:rsidRPr="00BE5F6F">
        <w:rPr>
          <w:rFonts w:ascii="Arial" w:hAnsi="Arial" w:cs="Arial"/>
          <w:bCs/>
          <w:i/>
          <w:sz w:val="20"/>
          <w:szCs w:val="20"/>
          <w:lang w:val="en-GB"/>
        </w:rPr>
        <w:t>D.W., E.V., F.U., G.T., Zlata Veselinović, H.S., I.R. against EULEX</w:t>
      </w:r>
      <w:r w:rsidRPr="00BE5F6F">
        <w:rPr>
          <w:rFonts w:ascii="Arial" w:hAnsi="Arial" w:cs="Arial"/>
          <w:bCs/>
          <w:sz w:val="20"/>
          <w:szCs w:val="20"/>
          <w:lang w:val="en-GB"/>
        </w:rPr>
        <w:t xml:space="preserve">, 2014-11, 2014-12, 2014-13, 2014-14, 2014-15, 2014-16 and 2014-17, 30 September 2015, pars 84 </w:t>
      </w:r>
      <w:r w:rsidRPr="00BE5F6F">
        <w:rPr>
          <w:rFonts w:ascii="Arial" w:hAnsi="Arial" w:cs="Arial"/>
          <w:bCs/>
          <w:i/>
          <w:sz w:val="20"/>
          <w:szCs w:val="20"/>
          <w:lang w:val="en-GB"/>
        </w:rPr>
        <w:t>et seq.</w:t>
      </w:r>
      <w:r w:rsidRPr="00BE5F6F">
        <w:rPr>
          <w:rFonts w:ascii="Arial" w:hAnsi="Arial" w:cs="Arial"/>
          <w:bCs/>
          <w:sz w:val="20"/>
          <w:szCs w:val="20"/>
          <w:lang w:val="en-GB"/>
        </w:rPr>
        <w:t xml:space="preserve"> </w:t>
      </w:r>
    </w:p>
  </w:footnote>
  <w:footnote w:id="43">
    <w:p w14:paraId="292E9B16" w14:textId="77777777" w:rsidR="002956E1" w:rsidRPr="00BE5F6F" w:rsidRDefault="002956E1" w:rsidP="00BE5F6F">
      <w:pPr>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w:t>
      </w:r>
      <w:r w:rsidRPr="00BE5F6F">
        <w:rPr>
          <w:rFonts w:ascii="Arial" w:hAnsi="Arial" w:cs="Arial"/>
          <w:bCs/>
          <w:sz w:val="20"/>
          <w:szCs w:val="20"/>
          <w:lang w:val="en-GB"/>
        </w:rPr>
        <w:t xml:space="preserve">On the concept of “extraordinary circumstances”, see for instance, </w:t>
      </w:r>
      <w:r w:rsidRPr="00BE5F6F">
        <w:rPr>
          <w:rFonts w:ascii="Arial" w:hAnsi="Arial" w:cs="Arial"/>
          <w:bCs/>
          <w:i/>
          <w:sz w:val="20"/>
          <w:szCs w:val="20"/>
          <w:lang w:val="en-GB"/>
        </w:rPr>
        <w:t>Rejhane Sadiku-Syla against EULEX, 2014-34</w:t>
      </w:r>
      <w:r w:rsidRPr="00BE5F6F">
        <w:rPr>
          <w:rFonts w:ascii="Arial" w:hAnsi="Arial" w:cs="Arial"/>
          <w:bCs/>
          <w:sz w:val="20"/>
          <w:szCs w:val="20"/>
          <w:lang w:val="en-GB"/>
        </w:rPr>
        <w:t>, 29 September 2015, par 62:</w:t>
      </w:r>
    </w:p>
    <w:p w14:paraId="7C005176" w14:textId="77777777" w:rsidR="002956E1" w:rsidRPr="00BE5F6F" w:rsidRDefault="002956E1" w:rsidP="00BE5F6F">
      <w:pPr>
        <w:suppressAutoHyphens/>
        <w:autoSpaceDE w:val="0"/>
        <w:jc w:val="both"/>
        <w:rPr>
          <w:rFonts w:ascii="Arial" w:hAnsi="Arial" w:cs="Arial"/>
          <w:sz w:val="20"/>
          <w:szCs w:val="20"/>
          <w:lang w:val="en-GB"/>
        </w:rPr>
      </w:pPr>
    </w:p>
    <w:p w14:paraId="33421E18" w14:textId="77777777" w:rsidR="002956E1" w:rsidRPr="00BE5F6F" w:rsidRDefault="002956E1" w:rsidP="00BE5F6F">
      <w:pPr>
        <w:pStyle w:val="ListParagraph"/>
        <w:jc w:val="both"/>
        <w:rPr>
          <w:rFonts w:ascii="Arial" w:hAnsi="Arial" w:cs="Arial"/>
          <w:sz w:val="20"/>
          <w:szCs w:val="20"/>
        </w:rPr>
      </w:pPr>
      <w:r w:rsidRPr="00BE5F6F">
        <w:rPr>
          <w:rFonts w:ascii="Arial" w:hAnsi="Arial" w:cs="Arial"/>
          <w:sz w:val="20"/>
          <w:szCs w:val="20"/>
          <w:lang w:val="en-GB"/>
        </w:rPr>
        <w:t>“</w:t>
      </w:r>
      <w:r w:rsidRPr="00BE5F6F">
        <w:rPr>
          <w:rFonts w:ascii="Arial" w:hAnsi="Arial" w:cs="Arial"/>
          <w:sz w:val="20"/>
          <w:szCs w:val="20"/>
        </w:rPr>
        <w:t xml:space="preserve">Lastly, the HoM submits that the new legislation that entered into force on 17 May 2014 has “considerably reduced the possibility for EULEX Prosecutors and Judges to exercise executing functions in new cases” (Response, p 6, referring to the Omnibus Law that amended the Law on Jursidiction). The Panel notes, however, that Article 7(A) provides for “Authority of EULEX prosecutors in extraordinary circumstances”:  “In extraordinary circumstances a case will be assigned to a EULEX prosecutor by a joint decision of the Chief State Prosecutor and EULEX KOSOVO competent authority.” The HoM has failed to explain why this provision would not provide an adequate legal basis on which EULEX Prosecutors should act, in particular in a case such as the present one where the local authorities do not appear to be investigating. The Panel would invite the parties to address this matter should they wish to make additional submissions in regard to the merit of this case.” </w:t>
      </w:r>
    </w:p>
    <w:p w14:paraId="0A894CDF" w14:textId="77777777" w:rsidR="002956E1" w:rsidRPr="00BE5F6F" w:rsidRDefault="002956E1" w:rsidP="00BE5F6F">
      <w:pPr>
        <w:suppressAutoHyphens/>
        <w:autoSpaceDE w:val="0"/>
        <w:jc w:val="both"/>
        <w:rPr>
          <w:rFonts w:ascii="Arial" w:hAnsi="Arial" w:cs="Arial"/>
          <w:sz w:val="20"/>
          <w:szCs w:val="20"/>
          <w:lang w:val="en-GB"/>
        </w:rPr>
      </w:pPr>
    </w:p>
    <w:p w14:paraId="5056CBCC" w14:textId="77777777" w:rsidR="002956E1" w:rsidRPr="00BE5F6F" w:rsidRDefault="002956E1" w:rsidP="00BE5F6F">
      <w:pPr>
        <w:suppressAutoHyphens/>
        <w:autoSpaceDE w:val="0"/>
        <w:jc w:val="both"/>
        <w:rPr>
          <w:rFonts w:ascii="Arial" w:hAnsi="Arial" w:cs="Arial"/>
          <w:sz w:val="20"/>
          <w:szCs w:val="20"/>
          <w:lang w:val="en-GB"/>
        </w:rPr>
      </w:pPr>
      <w:r w:rsidRPr="00BE5F6F">
        <w:rPr>
          <w:rFonts w:ascii="Arial" w:hAnsi="Arial" w:cs="Arial"/>
          <w:sz w:val="20"/>
          <w:szCs w:val="20"/>
          <w:lang w:val="en-GB"/>
        </w:rPr>
        <w:t xml:space="preserve">See also, </w:t>
      </w:r>
      <w:r w:rsidRPr="00BE5F6F">
        <w:rPr>
          <w:rFonts w:ascii="Arial" w:hAnsi="Arial" w:cs="Arial"/>
          <w:bCs/>
          <w:i/>
          <w:sz w:val="20"/>
          <w:szCs w:val="20"/>
          <w:lang w:val="en-GB"/>
        </w:rPr>
        <w:t>D.W., E.V., F.U., G.T., Zlata Veselinović, H.S., I.R. against EULEX</w:t>
      </w:r>
      <w:r w:rsidRPr="00BE5F6F">
        <w:rPr>
          <w:rFonts w:ascii="Arial" w:hAnsi="Arial" w:cs="Arial"/>
          <w:bCs/>
          <w:sz w:val="20"/>
          <w:szCs w:val="20"/>
          <w:lang w:val="en-GB"/>
        </w:rPr>
        <w:t xml:space="preserve">, 2014-11, 2014-12, 2014-13, 2014-14, 2014-15, 2014-16 and 2014-17, 30 September 2015, par </w:t>
      </w:r>
      <w:r w:rsidRPr="00BE5F6F">
        <w:rPr>
          <w:rFonts w:ascii="Arial" w:hAnsi="Arial" w:cs="Arial"/>
          <w:sz w:val="20"/>
          <w:szCs w:val="20"/>
          <w:lang w:val="en-GB"/>
        </w:rPr>
        <w:t xml:space="preserve">90: </w:t>
      </w:r>
    </w:p>
    <w:p w14:paraId="2CD52136" w14:textId="77777777" w:rsidR="002956E1" w:rsidRPr="00BE5F6F" w:rsidRDefault="002956E1" w:rsidP="00BE5F6F">
      <w:pPr>
        <w:ind w:left="709"/>
        <w:jc w:val="both"/>
        <w:rPr>
          <w:rFonts w:ascii="Arial" w:hAnsi="Arial" w:cs="Arial"/>
          <w:sz w:val="20"/>
          <w:szCs w:val="20"/>
        </w:rPr>
      </w:pPr>
      <w:r w:rsidRPr="00BE5F6F">
        <w:rPr>
          <w:rFonts w:ascii="Arial" w:hAnsi="Arial" w:cs="Arial"/>
          <w:sz w:val="20"/>
          <w:szCs w:val="20"/>
          <w:lang w:val="sq-AL"/>
        </w:rPr>
        <w:t>“90.Lastly, the HoM submits that the new legislation that entered into force on 7 May 2014 has “considerably reduced the possibility for EULEX Prosecutors and Judges to exercise executing functions in new cases”. The Panel notes, however, that Article 7(a) of the Law on Jurisdiction provides for “authority of EULEX prosecutors in extraordinary circumstances”:  “In extraordinary circumstances a case will be assigned to a EULEX prosecutor by a joint decision of the Chief State Prosecutor and EULEX KOSOVO competent authority.” The HoM has failed to explain why this provision would not provide an adequate legal basis on which EULEX Prosecutors should act, in particular in cases of this sort where neither UNMIK nor local authorities conducted effective investigations of the cases.”</w:t>
      </w:r>
    </w:p>
    <w:p w14:paraId="0767CEC4" w14:textId="77777777" w:rsidR="002956E1" w:rsidRPr="00BE5F6F" w:rsidRDefault="002956E1" w:rsidP="00BE5F6F">
      <w:pPr>
        <w:suppressAutoHyphens/>
        <w:autoSpaceDE w:val="0"/>
        <w:jc w:val="both"/>
        <w:rPr>
          <w:rFonts w:ascii="Arial" w:hAnsi="Arial" w:cs="Arial"/>
          <w:sz w:val="20"/>
          <w:szCs w:val="20"/>
          <w:lang w:val="en-GB"/>
        </w:rPr>
      </w:pPr>
    </w:p>
    <w:p w14:paraId="3473E6E2" w14:textId="77777777" w:rsidR="002956E1" w:rsidRPr="00BE5F6F" w:rsidRDefault="002956E1" w:rsidP="00BE5F6F">
      <w:pPr>
        <w:suppressAutoHyphens/>
        <w:autoSpaceDE w:val="0"/>
        <w:jc w:val="both"/>
        <w:rPr>
          <w:rFonts w:ascii="Arial" w:hAnsi="Arial" w:cs="Arial"/>
          <w:sz w:val="20"/>
          <w:szCs w:val="20"/>
          <w:lang w:val="en-GB"/>
        </w:rPr>
      </w:pPr>
      <w:r w:rsidRPr="00BE5F6F">
        <w:rPr>
          <w:rFonts w:ascii="Arial" w:hAnsi="Arial" w:cs="Arial"/>
          <w:bCs/>
          <w:sz w:val="20"/>
          <w:szCs w:val="20"/>
          <w:lang w:val="en-GB"/>
        </w:rPr>
        <w:t xml:space="preserve">See also </w:t>
      </w:r>
      <w:r w:rsidRPr="00BE5F6F">
        <w:rPr>
          <w:rFonts w:ascii="Arial" w:hAnsi="Arial" w:cs="Arial"/>
          <w:bCs/>
          <w:i/>
          <w:sz w:val="20"/>
          <w:szCs w:val="20"/>
          <w:lang w:val="en-GB"/>
        </w:rPr>
        <w:t>Rejhane Sadiku-Syla against EULEX, 2014-34</w:t>
      </w:r>
      <w:r w:rsidRPr="00BE5F6F">
        <w:rPr>
          <w:rFonts w:ascii="Arial" w:hAnsi="Arial" w:cs="Arial"/>
          <w:bCs/>
          <w:sz w:val="20"/>
          <w:szCs w:val="20"/>
          <w:lang w:val="en-GB"/>
        </w:rPr>
        <w:t xml:space="preserve">, 19 October 2016, paras. 23 </w:t>
      </w:r>
      <w:r w:rsidRPr="00BE5F6F">
        <w:rPr>
          <w:rFonts w:ascii="Arial" w:hAnsi="Arial" w:cs="Arial"/>
          <w:bCs/>
          <w:i/>
          <w:sz w:val="20"/>
          <w:szCs w:val="20"/>
          <w:lang w:val="en-GB"/>
        </w:rPr>
        <w:t>et seq</w:t>
      </w:r>
      <w:r w:rsidRPr="00BE5F6F">
        <w:rPr>
          <w:rFonts w:ascii="Arial" w:hAnsi="Arial" w:cs="Arial"/>
          <w:bCs/>
          <w:sz w:val="20"/>
          <w:szCs w:val="20"/>
          <w:lang w:val="en-GB"/>
        </w:rPr>
        <w:t>.</w:t>
      </w:r>
    </w:p>
  </w:footnote>
  <w:footnote w:id="44">
    <w:p w14:paraId="5D6D2FFC" w14:textId="77777777" w:rsidR="002956E1" w:rsidRPr="00BE5F6F" w:rsidRDefault="002956E1" w:rsidP="00BE5F6F">
      <w:pPr>
        <w:tabs>
          <w:tab w:val="left" w:pos="5926"/>
        </w:tabs>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See, e.g., </w:t>
      </w:r>
      <w:r w:rsidRPr="00BE5F6F">
        <w:rPr>
          <w:rFonts w:ascii="Arial" w:hAnsi="Arial" w:cs="Arial"/>
          <w:bCs/>
          <w:i/>
          <w:sz w:val="20"/>
          <w:szCs w:val="20"/>
          <w:lang w:val="en-GB"/>
        </w:rPr>
        <w:t>Mufail Halili against EULEX</w:t>
      </w:r>
      <w:r w:rsidRPr="00BE5F6F">
        <w:rPr>
          <w:rFonts w:ascii="Arial" w:hAnsi="Arial" w:cs="Arial"/>
          <w:bCs/>
          <w:sz w:val="20"/>
          <w:szCs w:val="20"/>
          <w:lang w:val="en-GB"/>
        </w:rPr>
        <w:t>, 2012-08, 15 January 2013, par 28:</w:t>
      </w:r>
    </w:p>
    <w:p w14:paraId="40D6C61E" w14:textId="77777777" w:rsidR="002956E1" w:rsidRPr="00BE5F6F" w:rsidRDefault="002956E1" w:rsidP="00BE5F6F">
      <w:pPr>
        <w:tabs>
          <w:tab w:val="left" w:pos="5926"/>
        </w:tabs>
        <w:jc w:val="both"/>
        <w:rPr>
          <w:rFonts w:ascii="Arial" w:hAnsi="Arial" w:cs="Arial"/>
          <w:sz w:val="20"/>
          <w:szCs w:val="20"/>
        </w:rPr>
      </w:pPr>
    </w:p>
    <w:p w14:paraId="0A7B3223" w14:textId="77777777" w:rsidR="002956E1" w:rsidRPr="00BE5F6F" w:rsidRDefault="002956E1" w:rsidP="00BE5F6F">
      <w:pPr>
        <w:suppressAutoHyphens/>
        <w:autoSpaceDE w:val="0"/>
        <w:ind w:left="720"/>
        <w:jc w:val="both"/>
        <w:rPr>
          <w:rFonts w:ascii="Arial" w:hAnsi="Arial" w:cs="Arial"/>
          <w:sz w:val="20"/>
          <w:szCs w:val="20"/>
          <w:lang w:val="en-GB"/>
        </w:rPr>
      </w:pPr>
      <w:r w:rsidRPr="00BE5F6F">
        <w:rPr>
          <w:rFonts w:ascii="Arial" w:hAnsi="Arial" w:cs="Arial"/>
          <w:sz w:val="20"/>
          <w:szCs w:val="20"/>
        </w:rPr>
        <w:t>“28. The Panel further notes that the procedural obligation for EULEX to investigate alleged violations of Article 3 of the Convention may arise in certain circumstances.  Namely, article 3.3. of the Law no. 03/L-053 on Jurisdiction, Case Selection and Case Allocation of EULEX Judges and Prosecutors in Kosovo (the Law on Jurisdiction) enumerates criminal offences triggering the competence of EULEX prosecutors, among them torture (as defined in Article 165 of the Provisional Criminal Code of Kosovo (PCCK)). The Panel reiterates that, under Article 12 of the Law on Jurisdiction, EULEX prosecutors have the authority to take over an investigation or prosecution of any criminal offences, in case Kosovo prosecutors are unwilling or unable to perform their duties and this unwillingness or inability might endanger the proper investigation or prosecution. For that possibility to arise, however, the case would have to be first referred to a local public prosecutor. If then a local prosecutor was unwilling or unable to deal with the case, the complainant could notify the Chief EULEX Prosecutor, who would then decide whether to assign the case to another Kosovo public prosecutor or to an EULEX prosecutor. The Panel observes that the complainant has not shown that he brought his grievances to the attention of the Kosovo prosecuting authorities.”</w:t>
      </w:r>
    </w:p>
    <w:p w14:paraId="333F15E6" w14:textId="77777777" w:rsidR="002956E1" w:rsidRPr="00BE5F6F" w:rsidRDefault="002956E1" w:rsidP="00BE5F6F">
      <w:pPr>
        <w:tabs>
          <w:tab w:val="left" w:pos="5926"/>
        </w:tabs>
        <w:jc w:val="both"/>
        <w:rPr>
          <w:rFonts w:ascii="Arial" w:hAnsi="Arial" w:cs="Arial"/>
          <w:sz w:val="20"/>
          <w:szCs w:val="20"/>
        </w:rPr>
      </w:pPr>
    </w:p>
    <w:p w14:paraId="78A61D87" w14:textId="43273A36" w:rsidR="002956E1" w:rsidRPr="00BE5F6F" w:rsidRDefault="002956E1" w:rsidP="00BE5F6F">
      <w:pPr>
        <w:autoSpaceDE w:val="0"/>
        <w:jc w:val="both"/>
        <w:rPr>
          <w:rFonts w:ascii="Arial" w:hAnsi="Arial" w:cs="Arial"/>
          <w:bCs/>
          <w:sz w:val="20"/>
          <w:szCs w:val="20"/>
          <w:lang w:val="en-GB"/>
        </w:rPr>
      </w:pPr>
      <w:r w:rsidRPr="00BE5F6F">
        <w:rPr>
          <w:rFonts w:ascii="Arial" w:hAnsi="Arial" w:cs="Arial"/>
          <w:sz w:val="20"/>
          <w:szCs w:val="20"/>
        </w:rPr>
        <w:t xml:space="preserve">See also </w:t>
      </w:r>
      <w:r w:rsidRPr="00BE5F6F">
        <w:rPr>
          <w:rFonts w:ascii="Arial" w:hAnsi="Arial" w:cs="Arial"/>
          <w:bCs/>
          <w:i/>
          <w:sz w:val="20"/>
          <w:szCs w:val="20"/>
          <w:lang w:val="en-GB"/>
        </w:rPr>
        <w:t>X. and 115 other complainants</w:t>
      </w:r>
      <w:r w:rsidRPr="00BE5F6F">
        <w:rPr>
          <w:rFonts w:ascii="Arial" w:hAnsi="Arial" w:cs="Arial"/>
          <w:bCs/>
          <w:sz w:val="20"/>
          <w:szCs w:val="20"/>
          <w:lang w:val="en-GB"/>
        </w:rPr>
        <w:t>, no. 2011-20, 22 April 2015, Disposition, w</w:t>
      </w:r>
      <w:r w:rsidRPr="00BE5F6F">
        <w:rPr>
          <w:rFonts w:ascii="Arial" w:hAnsi="Arial" w:cs="Arial"/>
          <w:sz w:val="20"/>
          <w:szCs w:val="20"/>
        </w:rPr>
        <w:t xml:space="preserve">here the Panel recommended that the </w:t>
      </w:r>
      <w:r w:rsidRPr="00BE5F6F">
        <w:rPr>
          <w:rFonts w:ascii="Arial" w:hAnsi="Arial" w:cs="Arial"/>
          <w:bCs/>
          <w:sz w:val="20"/>
          <w:szCs w:val="20"/>
        </w:rPr>
        <w:t xml:space="preserve">Head of Mission should instruct competent EULEX officials to make enquiries with Kosovo authorities whether an investigation in this matter is ongoing and, if so, at what stage of the process the matter stands. </w:t>
      </w:r>
    </w:p>
  </w:footnote>
  <w:footnote w:id="45">
    <w:p w14:paraId="700A135C" w14:textId="69A5DAB5" w:rsidR="00145A19" w:rsidRPr="00BE5F6F" w:rsidRDefault="002956E1" w:rsidP="00BE5F6F">
      <w:pPr>
        <w:pStyle w:val="FootnoteText"/>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w:t>
      </w:r>
      <w:r w:rsidR="00674489" w:rsidRPr="00BE5F6F">
        <w:rPr>
          <w:rFonts w:ascii="Arial" w:hAnsi="Arial" w:cs="Arial"/>
          <w:sz w:val="20"/>
          <w:szCs w:val="20"/>
        </w:rPr>
        <w:t>See above</w:t>
      </w:r>
      <w:r w:rsidRPr="00BE5F6F">
        <w:rPr>
          <w:rFonts w:ascii="Arial" w:hAnsi="Arial" w:cs="Arial"/>
          <w:sz w:val="20"/>
          <w:szCs w:val="20"/>
        </w:rPr>
        <w:t>.</w:t>
      </w:r>
      <w:r w:rsidR="00145A19" w:rsidRPr="00BE5F6F">
        <w:rPr>
          <w:rFonts w:ascii="Arial" w:hAnsi="Arial" w:cs="Arial"/>
          <w:sz w:val="20"/>
          <w:szCs w:val="20"/>
        </w:rPr>
        <w:t xml:space="preserve"> See, in particular, </w:t>
      </w:r>
      <w:r w:rsidR="00145A19" w:rsidRPr="00BE5F6F">
        <w:rPr>
          <w:rFonts w:ascii="Arial" w:hAnsi="Arial" w:cs="Arial"/>
          <w:i/>
          <w:sz w:val="20"/>
          <w:szCs w:val="20"/>
        </w:rPr>
        <w:t>Taraku against EULEX</w:t>
      </w:r>
      <w:r w:rsidR="00145A19" w:rsidRPr="00BE5F6F">
        <w:rPr>
          <w:rFonts w:ascii="Arial" w:hAnsi="Arial" w:cs="Arial"/>
          <w:sz w:val="20"/>
          <w:szCs w:val="20"/>
        </w:rPr>
        <w:t xml:space="preserve">, 27 May 2014, par 13; </w:t>
      </w:r>
      <w:r w:rsidR="00145A19" w:rsidRPr="00BE5F6F">
        <w:rPr>
          <w:rFonts w:ascii="Arial" w:hAnsi="Arial" w:cs="Arial"/>
          <w:i/>
          <w:sz w:val="20"/>
          <w:szCs w:val="20"/>
        </w:rPr>
        <w:t>Sogojeva against EULEX</w:t>
      </w:r>
      <w:r w:rsidR="00145A19" w:rsidRPr="00BE5F6F">
        <w:rPr>
          <w:rFonts w:ascii="Arial" w:hAnsi="Arial" w:cs="Arial"/>
          <w:sz w:val="20"/>
          <w:szCs w:val="20"/>
        </w:rPr>
        <w:t xml:space="preserve">, 6 June 2012, pars 6-8; </w:t>
      </w:r>
      <w:r w:rsidR="00145A19" w:rsidRPr="00BE5F6F">
        <w:rPr>
          <w:rFonts w:ascii="Arial" w:hAnsi="Arial" w:cs="Arial"/>
          <w:i/>
          <w:sz w:val="20"/>
          <w:szCs w:val="20"/>
        </w:rPr>
        <w:t>Gashi against EULEX</w:t>
      </w:r>
      <w:r w:rsidR="00145A19" w:rsidRPr="00BE5F6F">
        <w:rPr>
          <w:rFonts w:ascii="Arial" w:hAnsi="Arial" w:cs="Arial"/>
          <w:sz w:val="20"/>
          <w:szCs w:val="20"/>
        </w:rPr>
        <w:t xml:space="preserve">, 20 March 2012, pars 8-9; </w:t>
      </w:r>
      <w:r w:rsidR="00145A19" w:rsidRPr="00BE5F6F">
        <w:rPr>
          <w:rFonts w:ascii="Arial" w:hAnsi="Arial" w:cs="Arial"/>
          <w:i/>
          <w:sz w:val="20"/>
          <w:szCs w:val="20"/>
        </w:rPr>
        <w:t>Rudi against EULEX</w:t>
      </w:r>
      <w:r w:rsidR="00145A19" w:rsidRPr="00BE5F6F">
        <w:rPr>
          <w:rFonts w:ascii="Arial" w:hAnsi="Arial" w:cs="Arial"/>
          <w:sz w:val="20"/>
          <w:szCs w:val="20"/>
        </w:rPr>
        <w:t>, par 6.</w:t>
      </w:r>
    </w:p>
  </w:footnote>
  <w:footnote w:id="46">
    <w:p w14:paraId="64284B1B" w14:textId="678E165D" w:rsidR="002956E1" w:rsidRPr="00BE5F6F" w:rsidRDefault="002956E1" w:rsidP="00BE5F6F">
      <w:pPr>
        <w:pStyle w:val="FootnoteText"/>
        <w:jc w:val="both"/>
        <w:rPr>
          <w:rFonts w:ascii="Arial" w:hAnsi="Arial" w:cs="Arial"/>
          <w:sz w:val="20"/>
          <w:szCs w:val="20"/>
        </w:rPr>
      </w:pPr>
      <w:r w:rsidRPr="00BE5F6F">
        <w:rPr>
          <w:rStyle w:val="FootnoteReference"/>
          <w:rFonts w:ascii="Arial" w:hAnsi="Arial" w:cs="Arial"/>
          <w:sz w:val="20"/>
          <w:szCs w:val="20"/>
        </w:rPr>
        <w:footnoteRef/>
      </w:r>
      <w:r w:rsidR="00145A19" w:rsidRPr="00BE5F6F">
        <w:rPr>
          <w:rFonts w:ascii="Arial" w:hAnsi="Arial" w:cs="Arial"/>
          <w:sz w:val="20"/>
          <w:szCs w:val="20"/>
        </w:rPr>
        <w:t xml:space="preserve"> See, e.g., </w:t>
      </w:r>
      <w:r w:rsidR="00145A19" w:rsidRPr="00BE5F6F">
        <w:rPr>
          <w:rFonts w:ascii="Arial" w:hAnsi="Arial" w:cs="Arial"/>
          <w:i/>
          <w:sz w:val="20"/>
          <w:szCs w:val="20"/>
        </w:rPr>
        <w:t>Mustafa-Sadiku against EULEX</w:t>
      </w:r>
      <w:r w:rsidR="00145A19" w:rsidRPr="00BE5F6F">
        <w:rPr>
          <w:rFonts w:ascii="Arial" w:hAnsi="Arial" w:cs="Arial"/>
          <w:sz w:val="20"/>
          <w:szCs w:val="20"/>
        </w:rPr>
        <w:t xml:space="preserve">, 15 June 2015, par 16; </w:t>
      </w:r>
      <w:r w:rsidR="00145A19" w:rsidRPr="00BE5F6F">
        <w:rPr>
          <w:rFonts w:ascii="Arial" w:hAnsi="Arial" w:cs="Arial"/>
          <w:i/>
          <w:sz w:val="20"/>
          <w:szCs w:val="20"/>
        </w:rPr>
        <w:t>Beka against EULEX</w:t>
      </w:r>
      <w:r w:rsidR="00145A19" w:rsidRPr="00BE5F6F">
        <w:rPr>
          <w:rFonts w:ascii="Arial" w:hAnsi="Arial" w:cs="Arial"/>
          <w:sz w:val="20"/>
          <w:szCs w:val="20"/>
        </w:rPr>
        <w:t xml:space="preserve">, 10 November 2014, par 6; </w:t>
      </w:r>
      <w:r w:rsidR="00145A19" w:rsidRPr="00BE5F6F">
        <w:rPr>
          <w:rFonts w:ascii="Arial" w:hAnsi="Arial" w:cs="Arial"/>
          <w:i/>
          <w:sz w:val="20"/>
          <w:szCs w:val="20"/>
        </w:rPr>
        <w:t>An EULEX employee against EULEX</w:t>
      </w:r>
      <w:r w:rsidR="00145A19" w:rsidRPr="00BE5F6F">
        <w:rPr>
          <w:rFonts w:ascii="Arial" w:hAnsi="Arial" w:cs="Arial"/>
          <w:sz w:val="20"/>
          <w:szCs w:val="20"/>
        </w:rPr>
        <w:t xml:space="preserve">, par 6. </w:t>
      </w:r>
      <w:r w:rsidRPr="00BE5F6F">
        <w:rPr>
          <w:rFonts w:ascii="Arial" w:hAnsi="Arial" w:cs="Arial"/>
          <w:sz w:val="20"/>
          <w:szCs w:val="20"/>
        </w:rPr>
        <w:t>See also Rule 25(1) of the Panel’s Rules of Procedure, which provides that a complaint may be filed by any person other than EULEX Kosovo personnel.</w:t>
      </w:r>
    </w:p>
  </w:footnote>
  <w:footnote w:id="47">
    <w:p w14:paraId="159DE57E" w14:textId="38DC4A80" w:rsidR="00145A19" w:rsidRPr="00BE5F6F" w:rsidRDefault="002956E1" w:rsidP="00BE5F6F">
      <w:pPr>
        <w:pStyle w:val="FootnoteText"/>
        <w:jc w:val="both"/>
        <w:rPr>
          <w:rFonts w:ascii="Arial" w:hAnsi="Arial" w:cs="Arial"/>
          <w:sz w:val="20"/>
          <w:szCs w:val="20"/>
        </w:rPr>
      </w:pPr>
      <w:r w:rsidRPr="00BE5F6F">
        <w:rPr>
          <w:rStyle w:val="FootnoteReference"/>
          <w:rFonts w:ascii="Arial" w:hAnsi="Arial" w:cs="Arial"/>
          <w:sz w:val="20"/>
          <w:szCs w:val="20"/>
        </w:rPr>
        <w:footnoteRef/>
      </w:r>
      <w:r w:rsidR="00145A19" w:rsidRPr="00BE5F6F">
        <w:rPr>
          <w:rFonts w:ascii="Arial" w:hAnsi="Arial" w:cs="Arial"/>
          <w:sz w:val="20"/>
          <w:szCs w:val="20"/>
        </w:rPr>
        <w:t xml:space="preserve"> See, e.g., </w:t>
      </w:r>
      <w:r w:rsidR="00145A19" w:rsidRPr="00BE5F6F">
        <w:rPr>
          <w:rFonts w:ascii="Arial" w:hAnsi="Arial" w:cs="Arial"/>
          <w:i/>
          <w:sz w:val="20"/>
          <w:szCs w:val="20"/>
        </w:rPr>
        <w:t>Luizim Gashi against EULEX</w:t>
      </w:r>
      <w:r w:rsidR="00145A19" w:rsidRPr="00BE5F6F">
        <w:rPr>
          <w:rFonts w:ascii="Arial" w:hAnsi="Arial" w:cs="Arial"/>
          <w:sz w:val="20"/>
          <w:szCs w:val="20"/>
        </w:rPr>
        <w:t xml:space="preserve">, 7 December 2010, par 7; </w:t>
      </w:r>
      <w:r w:rsidR="00145A19" w:rsidRPr="00BE5F6F">
        <w:rPr>
          <w:rFonts w:ascii="Arial" w:hAnsi="Arial" w:cs="Arial"/>
          <w:i/>
          <w:sz w:val="20"/>
          <w:szCs w:val="20"/>
        </w:rPr>
        <w:t>Pasuli against EULEX</w:t>
      </w:r>
      <w:r w:rsidR="00145A19" w:rsidRPr="00BE5F6F">
        <w:rPr>
          <w:rFonts w:ascii="Arial" w:hAnsi="Arial" w:cs="Arial"/>
          <w:sz w:val="20"/>
          <w:szCs w:val="20"/>
        </w:rPr>
        <w:t xml:space="preserve">, 14 September 2010, par 7; </w:t>
      </w:r>
      <w:r w:rsidR="00145A19" w:rsidRPr="00BE5F6F">
        <w:rPr>
          <w:rFonts w:ascii="Arial" w:hAnsi="Arial" w:cs="Arial"/>
          <w:i/>
          <w:sz w:val="20"/>
          <w:szCs w:val="20"/>
        </w:rPr>
        <w:t>Proetel against EULEX</w:t>
      </w:r>
      <w:r w:rsidR="00145A19" w:rsidRPr="00BE5F6F">
        <w:rPr>
          <w:rFonts w:ascii="Arial" w:hAnsi="Arial" w:cs="Arial"/>
          <w:sz w:val="20"/>
          <w:szCs w:val="20"/>
        </w:rPr>
        <w:t>, 14 September 2010, par 6.</w:t>
      </w:r>
    </w:p>
  </w:footnote>
  <w:footnote w:id="48">
    <w:p w14:paraId="746B8D0B" w14:textId="77777777" w:rsidR="002956E1" w:rsidRPr="00BE5F6F" w:rsidRDefault="002956E1" w:rsidP="00BE5F6F">
      <w:pPr>
        <w:pStyle w:val="FootnoteText"/>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See e.g. </w:t>
      </w:r>
      <w:r w:rsidRPr="00BE5F6F">
        <w:rPr>
          <w:rFonts w:ascii="Arial" w:hAnsi="Arial" w:cs="Arial"/>
          <w:i/>
          <w:sz w:val="20"/>
          <w:szCs w:val="20"/>
        </w:rPr>
        <w:t>S</w:t>
      </w:r>
      <w:r w:rsidRPr="00BE5F6F">
        <w:rPr>
          <w:rFonts w:ascii="Arial" w:hAnsi="Arial" w:cs="Arial"/>
          <w:bCs/>
          <w:i/>
          <w:color w:val="000000"/>
          <w:sz w:val="20"/>
          <w:szCs w:val="20"/>
          <w:lang w:val="en-GB"/>
        </w:rPr>
        <w:t>adik Thaqi against EULEX</w:t>
      </w:r>
      <w:r w:rsidRPr="00BE5F6F">
        <w:rPr>
          <w:rFonts w:ascii="Arial" w:hAnsi="Arial" w:cs="Arial"/>
          <w:bCs/>
          <w:color w:val="000000"/>
          <w:sz w:val="20"/>
          <w:szCs w:val="20"/>
          <w:lang w:val="en-GB"/>
        </w:rPr>
        <w:t xml:space="preserve">, 2010-02, 14 September 2011, paras. 72-73. See also </w:t>
      </w:r>
      <w:r w:rsidRPr="00BE5F6F">
        <w:rPr>
          <w:rFonts w:ascii="Arial" w:hAnsi="Arial" w:cs="Arial"/>
          <w:color w:val="000000"/>
          <w:sz w:val="20"/>
          <w:szCs w:val="20"/>
          <w:lang w:val="en-GB"/>
        </w:rPr>
        <w:t xml:space="preserve">Rule 25, paragraph 2 of the Panel’s Rules of Procedure and Evidence. </w:t>
      </w:r>
    </w:p>
  </w:footnote>
  <w:footnote w:id="49">
    <w:p w14:paraId="337C692D" w14:textId="1ACA9EA1" w:rsidR="00145A19" w:rsidRPr="00BE5F6F" w:rsidRDefault="002956E1" w:rsidP="00BE5F6F">
      <w:pPr>
        <w:pStyle w:val="FootnoteText"/>
        <w:jc w:val="both"/>
        <w:rPr>
          <w:rFonts w:ascii="Arial" w:hAnsi="Arial" w:cs="Arial"/>
          <w:sz w:val="20"/>
          <w:szCs w:val="20"/>
        </w:rPr>
      </w:pPr>
      <w:r w:rsidRPr="00BE5F6F">
        <w:rPr>
          <w:rStyle w:val="FootnoteReference"/>
          <w:rFonts w:ascii="Arial" w:hAnsi="Arial" w:cs="Arial"/>
          <w:sz w:val="20"/>
          <w:szCs w:val="20"/>
        </w:rPr>
        <w:footnoteRef/>
      </w:r>
      <w:r w:rsidR="00145A19" w:rsidRPr="00BE5F6F">
        <w:rPr>
          <w:rFonts w:ascii="Arial" w:hAnsi="Arial" w:cs="Arial"/>
          <w:sz w:val="20"/>
          <w:szCs w:val="20"/>
        </w:rPr>
        <w:t xml:space="preserve"> See, e.g., </w:t>
      </w:r>
      <w:r w:rsidR="00145A19" w:rsidRPr="00BE5F6F">
        <w:rPr>
          <w:rFonts w:ascii="Arial" w:hAnsi="Arial" w:cs="Arial"/>
          <w:i/>
          <w:sz w:val="20"/>
          <w:szCs w:val="20"/>
        </w:rPr>
        <w:t>L.O. against EULEX</w:t>
      </w:r>
      <w:r w:rsidR="00145A19" w:rsidRPr="00BE5F6F">
        <w:rPr>
          <w:rFonts w:ascii="Arial" w:hAnsi="Arial" w:cs="Arial"/>
          <w:sz w:val="20"/>
          <w:szCs w:val="20"/>
        </w:rPr>
        <w:t xml:space="preserve">, 11 November 2015, pars 48-52; </w:t>
      </w:r>
      <w:r w:rsidR="00145A19" w:rsidRPr="00BE5F6F">
        <w:rPr>
          <w:rFonts w:ascii="Arial" w:hAnsi="Arial" w:cs="Arial"/>
          <w:i/>
          <w:sz w:val="20"/>
          <w:szCs w:val="20"/>
        </w:rPr>
        <w:t>Sadiku-Syla against EULEX</w:t>
      </w:r>
      <w:r w:rsidR="00145A19" w:rsidRPr="00BE5F6F">
        <w:rPr>
          <w:rFonts w:ascii="Arial" w:hAnsi="Arial" w:cs="Arial"/>
          <w:sz w:val="20"/>
          <w:szCs w:val="20"/>
        </w:rPr>
        <w:t xml:space="preserve">, 29 September 2015, pars 49-52; </w:t>
      </w:r>
      <w:r w:rsidR="00145A19" w:rsidRPr="00BE5F6F">
        <w:rPr>
          <w:rFonts w:ascii="Arial" w:hAnsi="Arial" w:cs="Arial"/>
          <w:i/>
          <w:sz w:val="20"/>
          <w:szCs w:val="20"/>
        </w:rPr>
        <w:t>D.W. et al against EULEX</w:t>
      </w:r>
      <w:r w:rsidR="00145A19" w:rsidRPr="00BE5F6F">
        <w:rPr>
          <w:rFonts w:ascii="Arial" w:hAnsi="Arial" w:cs="Arial"/>
          <w:sz w:val="20"/>
          <w:szCs w:val="20"/>
        </w:rPr>
        <w:t xml:space="preserve">, 30 September 2015, pars 77-81; </w:t>
      </w:r>
      <w:r w:rsidR="00145A19" w:rsidRPr="00BE5F6F">
        <w:rPr>
          <w:rFonts w:ascii="Arial" w:hAnsi="Arial" w:cs="Arial"/>
          <w:i/>
          <w:sz w:val="20"/>
          <w:szCs w:val="20"/>
        </w:rPr>
        <w:t>Berisha against EULEX</w:t>
      </w:r>
      <w:r w:rsidR="00145A19" w:rsidRPr="00BE5F6F">
        <w:rPr>
          <w:rFonts w:ascii="Arial" w:hAnsi="Arial" w:cs="Arial"/>
          <w:sz w:val="20"/>
          <w:szCs w:val="20"/>
        </w:rPr>
        <w:t xml:space="preserve">, 1 March 2016, par 14; </w:t>
      </w:r>
      <w:r w:rsidR="00145A19" w:rsidRPr="00BE5F6F">
        <w:rPr>
          <w:rFonts w:ascii="Arial" w:hAnsi="Arial" w:cs="Arial"/>
          <w:i/>
          <w:sz w:val="20"/>
          <w:szCs w:val="20"/>
        </w:rPr>
        <w:t>Thaqi against EULEX</w:t>
      </w:r>
      <w:r w:rsidR="00145A19" w:rsidRPr="00BE5F6F">
        <w:rPr>
          <w:rFonts w:ascii="Arial" w:hAnsi="Arial" w:cs="Arial"/>
          <w:sz w:val="20"/>
          <w:szCs w:val="20"/>
        </w:rPr>
        <w:t>, 14 September 2011, pars 71-77.</w:t>
      </w:r>
    </w:p>
  </w:footnote>
  <w:footnote w:id="50">
    <w:p w14:paraId="2E468FA6" w14:textId="39C3805C" w:rsidR="002956E1" w:rsidRPr="00BE5F6F" w:rsidRDefault="002956E1" w:rsidP="00BE5F6F">
      <w:pPr>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w:t>
      </w:r>
      <w:r w:rsidR="00145A19" w:rsidRPr="00BE5F6F">
        <w:rPr>
          <w:rFonts w:ascii="Arial" w:hAnsi="Arial" w:cs="Arial"/>
          <w:sz w:val="20"/>
          <w:szCs w:val="20"/>
        </w:rPr>
        <w:t xml:space="preserve">See, in particular, cases of enforced disappearance (as discussed and summarized here: </w:t>
      </w:r>
      <w:hyperlink r:id="rId4" w:history="1">
        <w:r w:rsidR="00145A19" w:rsidRPr="00BE5F6F">
          <w:rPr>
            <w:rStyle w:val="Hyperlink"/>
            <w:rFonts w:ascii="Arial" w:hAnsi="Arial" w:cs="Arial"/>
            <w:sz w:val="20"/>
            <w:szCs w:val="20"/>
          </w:rPr>
          <w:t>http://www.hrrp.eu/docs/Case%20law%20Note%20on%20Disappearance.pdf</w:t>
        </w:r>
      </w:hyperlink>
      <w:r w:rsidR="00145A19" w:rsidRPr="00BE5F6F">
        <w:rPr>
          <w:rFonts w:ascii="Arial" w:hAnsi="Arial" w:cs="Arial"/>
          <w:sz w:val="20"/>
          <w:szCs w:val="20"/>
        </w:rPr>
        <w:t>). See, for an illustration, L.O. against EULEX, 2014-32, Decision and Findings, 11 November 2015, par 71 (“Whilst the involvement of the SITF may ultimately assist the complainant’s search for answers and justice, the Panel is of the view that, up to the present point, the involvement of the SITF has not demonstrably contributed to securing effective protection for her rights. Absent clearer and more detailed information about the SITF’s actions and contribution to investigating this case, the Panel must draw the necessary inference that the complainant’s rights have been and continue to be violated. This is true, in particular, of her (procedural) rights under Articles 2 and 3 of the Convention as well as her rights to have access to a remedy and to the full enjoyment of her family rights (Article 13 and 8 of the Convention, respectively).”); Sadiku-Syla against EULEX, 2014-34, Decision and Findings, 19 October 2016, par 35.</w:t>
      </w:r>
    </w:p>
  </w:footnote>
  <w:footnote w:id="51">
    <w:p w14:paraId="549EA8AA" w14:textId="77777777" w:rsidR="002956E1" w:rsidRPr="00BE5F6F" w:rsidRDefault="002956E1" w:rsidP="00BE5F6F">
      <w:pPr>
        <w:pStyle w:val="FootnoteText"/>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w:t>
      </w:r>
      <w:r w:rsidRPr="00BE5F6F">
        <w:rPr>
          <w:rFonts w:ascii="Arial" w:hAnsi="Arial" w:cs="Arial"/>
          <w:i/>
          <w:sz w:val="20"/>
          <w:szCs w:val="20"/>
        </w:rPr>
        <w:t>S</w:t>
      </w:r>
      <w:r w:rsidRPr="00BE5F6F">
        <w:rPr>
          <w:rFonts w:ascii="Arial" w:hAnsi="Arial" w:cs="Arial"/>
          <w:bCs/>
          <w:i/>
          <w:color w:val="000000"/>
          <w:sz w:val="20"/>
          <w:szCs w:val="20"/>
          <w:lang w:val="en-GB"/>
        </w:rPr>
        <w:t>adik Thaqi against EULEX</w:t>
      </w:r>
      <w:r w:rsidRPr="00BE5F6F">
        <w:rPr>
          <w:rFonts w:ascii="Arial" w:hAnsi="Arial" w:cs="Arial"/>
          <w:bCs/>
          <w:color w:val="000000"/>
          <w:sz w:val="20"/>
          <w:szCs w:val="20"/>
          <w:lang w:val="en-GB"/>
        </w:rPr>
        <w:t>, 2010-02, 14 September 2011, para. 74, referring</w:t>
      </w:r>
      <w:r w:rsidRPr="00BE5F6F">
        <w:rPr>
          <w:rFonts w:ascii="Arial" w:hAnsi="Arial" w:cs="Arial"/>
          <w:sz w:val="20"/>
          <w:szCs w:val="20"/>
        </w:rPr>
        <w:t xml:space="preserve"> to </w:t>
      </w:r>
      <w:r w:rsidRPr="00BE5F6F">
        <w:rPr>
          <w:rFonts w:ascii="Arial" w:hAnsi="Arial" w:cs="Arial"/>
          <w:i/>
          <w:color w:val="000000"/>
          <w:sz w:val="20"/>
          <w:szCs w:val="20"/>
        </w:rPr>
        <w:t>Šilih</w:t>
      </w:r>
      <w:r w:rsidRPr="00BE5F6F">
        <w:rPr>
          <w:rFonts w:ascii="Arial" w:hAnsi="Arial" w:cs="Arial"/>
          <w:color w:val="000000"/>
          <w:sz w:val="20"/>
          <w:szCs w:val="20"/>
        </w:rPr>
        <w:t>, para. 141.</w:t>
      </w:r>
    </w:p>
  </w:footnote>
  <w:footnote w:id="52">
    <w:p w14:paraId="65B95E5E" w14:textId="77777777" w:rsidR="002956E1" w:rsidRPr="00BE5F6F" w:rsidRDefault="002956E1" w:rsidP="00BE5F6F">
      <w:pPr>
        <w:pStyle w:val="FootnoteText"/>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See again </w:t>
      </w:r>
      <w:r w:rsidRPr="00BE5F6F">
        <w:rPr>
          <w:rFonts w:ascii="Arial" w:hAnsi="Arial" w:cs="Arial"/>
          <w:i/>
          <w:sz w:val="20"/>
          <w:szCs w:val="20"/>
        </w:rPr>
        <w:t>S</w:t>
      </w:r>
      <w:r w:rsidRPr="00BE5F6F">
        <w:rPr>
          <w:rFonts w:ascii="Arial" w:hAnsi="Arial" w:cs="Arial"/>
          <w:bCs/>
          <w:i/>
          <w:color w:val="000000"/>
          <w:sz w:val="20"/>
          <w:szCs w:val="20"/>
          <w:lang w:val="en-GB"/>
        </w:rPr>
        <w:t>adik Thaqi against EULEX</w:t>
      </w:r>
      <w:r w:rsidRPr="00BE5F6F">
        <w:rPr>
          <w:rFonts w:ascii="Arial" w:hAnsi="Arial" w:cs="Arial"/>
          <w:bCs/>
          <w:color w:val="000000"/>
          <w:sz w:val="20"/>
          <w:szCs w:val="20"/>
          <w:lang w:val="en-GB"/>
        </w:rPr>
        <w:t>, 2010-02, 14 September 2011, para. 75:</w:t>
      </w:r>
    </w:p>
    <w:p w14:paraId="13662979" w14:textId="77777777" w:rsidR="002956E1" w:rsidRPr="00BE5F6F" w:rsidRDefault="002956E1" w:rsidP="00BE5F6F">
      <w:pPr>
        <w:pStyle w:val="FootnoteText"/>
        <w:jc w:val="both"/>
        <w:rPr>
          <w:rFonts w:ascii="Arial" w:hAnsi="Arial" w:cs="Arial"/>
          <w:sz w:val="20"/>
          <w:szCs w:val="20"/>
        </w:rPr>
      </w:pPr>
    </w:p>
    <w:p w14:paraId="5151BAF5" w14:textId="77777777" w:rsidR="002956E1" w:rsidRPr="00BE5F6F" w:rsidRDefault="002956E1" w:rsidP="00BE5F6F">
      <w:pPr>
        <w:pStyle w:val="JuPara"/>
        <w:ind w:left="720" w:firstLine="0"/>
        <w:rPr>
          <w:rFonts w:ascii="Arial" w:hAnsi="Arial" w:cs="Arial"/>
          <w:color w:val="000000"/>
          <w:sz w:val="20"/>
        </w:rPr>
      </w:pPr>
      <w:r w:rsidRPr="00BE5F6F">
        <w:rPr>
          <w:rFonts w:ascii="Arial" w:hAnsi="Arial" w:cs="Arial"/>
          <w:color w:val="000000"/>
          <w:sz w:val="20"/>
        </w:rPr>
        <w:t xml:space="preserve">“75.In this connection, the Court has observed that the procedural obligation to carry out an effective investigation under Article 2 constitutes a separate and autonomous duty. It can therefore be considered an independent obligation arising out of Article 2, capable of binding the authorities even when the death took place before the critical date (see, </w:t>
      </w:r>
      <w:r w:rsidRPr="00BE5F6F">
        <w:rPr>
          <w:rFonts w:ascii="Arial" w:hAnsi="Arial" w:cs="Arial"/>
          <w:i/>
          <w:color w:val="000000"/>
          <w:sz w:val="20"/>
        </w:rPr>
        <w:t>inter alia</w:t>
      </w:r>
      <w:r w:rsidRPr="00BE5F6F">
        <w:rPr>
          <w:rFonts w:ascii="Arial" w:hAnsi="Arial" w:cs="Arial"/>
          <w:color w:val="000000"/>
          <w:sz w:val="20"/>
        </w:rPr>
        <w:t xml:space="preserve">, </w:t>
      </w:r>
      <w:r w:rsidRPr="00BE5F6F">
        <w:rPr>
          <w:rFonts w:ascii="Arial" w:hAnsi="Arial" w:cs="Arial"/>
          <w:i/>
          <w:color w:val="000000"/>
          <w:sz w:val="20"/>
          <w:lang w:eastAsia="en-US"/>
        </w:rPr>
        <w:t>Šilih</w:t>
      </w:r>
      <w:r w:rsidRPr="00BE5F6F">
        <w:rPr>
          <w:rFonts w:ascii="Arial" w:hAnsi="Arial" w:cs="Arial"/>
          <w:color w:val="000000"/>
          <w:sz w:val="20"/>
          <w:lang w:eastAsia="en-US"/>
        </w:rPr>
        <w:t xml:space="preserve">, § 159; </w:t>
      </w:r>
      <w:r w:rsidRPr="00BE5F6F">
        <w:rPr>
          <w:rFonts w:ascii="Arial" w:hAnsi="Arial" w:cs="Arial"/>
          <w:i/>
          <w:color w:val="000000"/>
          <w:sz w:val="20"/>
          <w:lang w:eastAsia="en-US"/>
        </w:rPr>
        <w:t>Varnava and Others</w:t>
      </w:r>
      <w:r w:rsidRPr="00BE5F6F">
        <w:rPr>
          <w:rFonts w:ascii="Arial" w:hAnsi="Arial" w:cs="Arial"/>
          <w:color w:val="000000"/>
          <w:sz w:val="20"/>
          <w:lang w:eastAsia="en-US"/>
        </w:rPr>
        <w:t xml:space="preserve">, § 147; and </w:t>
      </w:r>
      <w:r w:rsidRPr="00BE5F6F">
        <w:rPr>
          <w:rFonts w:ascii="Arial" w:hAnsi="Arial" w:cs="Arial"/>
          <w:i/>
          <w:color w:val="000000"/>
          <w:sz w:val="20"/>
          <w:lang w:eastAsia="en-US"/>
        </w:rPr>
        <w:t>Velcea and Mazăre</w:t>
      </w:r>
      <w:r w:rsidRPr="00BE5F6F">
        <w:rPr>
          <w:rFonts w:ascii="Arial" w:hAnsi="Arial" w:cs="Arial"/>
          <w:color w:val="000000"/>
          <w:sz w:val="20"/>
          <w:lang w:eastAsia="en-US"/>
        </w:rPr>
        <w:t xml:space="preserve">, </w:t>
      </w:r>
      <w:r w:rsidRPr="00BE5F6F">
        <w:rPr>
          <w:rFonts w:ascii="Arial" w:hAnsi="Arial" w:cs="Arial"/>
          <w:snapToGrid w:val="0"/>
          <w:color w:val="000000"/>
          <w:sz w:val="20"/>
          <w:lang w:eastAsia="en-US"/>
        </w:rPr>
        <w:t>§ 81, all cited above</w:t>
      </w:r>
      <w:r w:rsidRPr="00BE5F6F">
        <w:rPr>
          <w:rFonts w:ascii="Arial" w:hAnsi="Arial" w:cs="Arial"/>
          <w:color w:val="000000"/>
          <w:sz w:val="20"/>
          <w:lang w:eastAsia="en-US"/>
        </w:rPr>
        <w:t>)</w:t>
      </w:r>
      <w:r w:rsidRPr="00BE5F6F">
        <w:rPr>
          <w:rFonts w:ascii="Arial" w:hAnsi="Arial" w:cs="Arial"/>
          <w:color w:val="000000"/>
          <w:sz w:val="20"/>
        </w:rPr>
        <w:t xml:space="preserve">. The procedural obligation under Article 2 binds the public authorities throughout the period in which they can reasonably be expected to take measures with an aim to elucidate the circumstances of death and establish responsibility for it (see </w:t>
      </w:r>
      <w:r w:rsidRPr="00BE5F6F">
        <w:rPr>
          <w:rFonts w:ascii="Arial" w:hAnsi="Arial" w:cs="Arial"/>
          <w:i/>
          <w:color w:val="000000"/>
          <w:sz w:val="20"/>
          <w:lang w:eastAsia="en-US"/>
        </w:rPr>
        <w:t>Šilih</w:t>
      </w:r>
      <w:r w:rsidRPr="00BE5F6F">
        <w:rPr>
          <w:rFonts w:ascii="Arial" w:hAnsi="Arial" w:cs="Arial"/>
          <w:color w:val="000000"/>
          <w:sz w:val="20"/>
          <w:lang w:eastAsia="en-US"/>
        </w:rPr>
        <w:t>, cited above, § 157).</w:t>
      </w:r>
      <w:r w:rsidRPr="00BE5F6F">
        <w:rPr>
          <w:rFonts w:ascii="Arial" w:hAnsi="Arial" w:cs="Arial"/>
          <w:color w:val="000000"/>
          <w:sz w:val="20"/>
        </w:rPr>
        <w:t>”</w:t>
      </w:r>
    </w:p>
    <w:p w14:paraId="477E2517" w14:textId="77777777" w:rsidR="002956E1" w:rsidRPr="00BE5F6F" w:rsidRDefault="002956E1" w:rsidP="00BE5F6F">
      <w:pPr>
        <w:pStyle w:val="FootnoteText"/>
        <w:jc w:val="both"/>
        <w:rPr>
          <w:rFonts w:ascii="Arial" w:hAnsi="Arial" w:cs="Arial"/>
          <w:sz w:val="20"/>
          <w:szCs w:val="20"/>
        </w:rPr>
      </w:pPr>
    </w:p>
    <w:p w14:paraId="4D61C643" w14:textId="77777777" w:rsidR="002956E1" w:rsidRPr="00BE5F6F" w:rsidRDefault="002956E1" w:rsidP="00BE5F6F">
      <w:pPr>
        <w:jc w:val="both"/>
        <w:rPr>
          <w:rFonts w:ascii="Arial" w:hAnsi="Arial" w:cs="Arial"/>
          <w:sz w:val="20"/>
          <w:szCs w:val="20"/>
        </w:rPr>
      </w:pPr>
      <w:r w:rsidRPr="00BE5F6F">
        <w:rPr>
          <w:rFonts w:ascii="Arial" w:hAnsi="Arial" w:cs="Arial"/>
          <w:bCs/>
          <w:sz w:val="20"/>
          <w:szCs w:val="20"/>
          <w:lang w:val="en-GB"/>
        </w:rPr>
        <w:t xml:space="preserve">See also </w:t>
      </w:r>
      <w:r w:rsidRPr="00BE5F6F">
        <w:rPr>
          <w:rFonts w:ascii="Arial" w:hAnsi="Arial" w:cs="Arial"/>
          <w:bCs/>
          <w:i/>
          <w:sz w:val="20"/>
          <w:szCs w:val="20"/>
          <w:lang w:val="en-GB"/>
        </w:rPr>
        <w:t>D.W., E.V., F.U., G.T., Zlata Veselinović, H.S., I.R. against EULEX</w:t>
      </w:r>
      <w:r w:rsidRPr="00BE5F6F">
        <w:rPr>
          <w:rFonts w:ascii="Arial" w:hAnsi="Arial" w:cs="Arial"/>
          <w:bCs/>
          <w:sz w:val="20"/>
          <w:szCs w:val="20"/>
          <w:lang w:val="en-GB"/>
        </w:rPr>
        <w:t>, 2014-11, 2014-12, 2014-13, 2014-14, 2014-15, 2014-16 and 2014-17, 30 September 2015, para. 80 (</w:t>
      </w:r>
      <w:r w:rsidRPr="00BE5F6F">
        <w:rPr>
          <w:rFonts w:ascii="Arial" w:hAnsi="Arial" w:cs="Arial"/>
          <w:sz w:val="20"/>
          <w:szCs w:val="20"/>
        </w:rPr>
        <w:t>“80.</w:t>
      </w:r>
      <w:r w:rsidRPr="00BE5F6F">
        <w:rPr>
          <w:rFonts w:ascii="Arial" w:hAnsi="Arial" w:cs="Arial"/>
          <w:sz w:val="20"/>
          <w:szCs w:val="20"/>
          <w:lang w:val="en-GB"/>
        </w:rPr>
        <w:t xml:space="preserve">Thirdly, the Panel notes that, even though no investigations in the cases at issue are pending at the moment and the competence of EULEX Prosecutors to investigate may have been limited under the amended Law on Jurisdiction, EULEX was involved in the investigations of this matter (see pars 13 and 27 above). Such conduct indisputably comes within the competence, </w:t>
      </w:r>
      <w:r w:rsidRPr="00BE5F6F">
        <w:rPr>
          <w:rFonts w:ascii="Arial" w:hAnsi="Arial" w:cs="Arial"/>
          <w:i/>
          <w:sz w:val="20"/>
          <w:szCs w:val="20"/>
          <w:lang w:val="en-GB"/>
        </w:rPr>
        <w:t>ratione temporis</w:t>
      </w:r>
      <w:r w:rsidRPr="00BE5F6F">
        <w:rPr>
          <w:rFonts w:ascii="Arial" w:hAnsi="Arial" w:cs="Arial"/>
          <w:sz w:val="20"/>
          <w:szCs w:val="20"/>
          <w:lang w:val="en-GB"/>
        </w:rPr>
        <w:t xml:space="preserve">, of the Panel. For the purpose of guaranteeing the effective protection of the complainant’s rights, this period cannot meaningfully be separated from the investigation that has been conducted up to this point (compare </w:t>
      </w:r>
      <w:r w:rsidRPr="00BE5F6F">
        <w:rPr>
          <w:rFonts w:ascii="Arial" w:hAnsi="Arial" w:cs="Arial"/>
          <w:bCs/>
          <w:i/>
          <w:sz w:val="20"/>
          <w:szCs w:val="20"/>
          <w:lang w:val="en-GB"/>
        </w:rPr>
        <w:t>Thaqi against EULEX</w:t>
      </w:r>
      <w:r w:rsidRPr="00BE5F6F">
        <w:rPr>
          <w:rFonts w:ascii="Arial" w:hAnsi="Arial" w:cs="Arial"/>
          <w:bCs/>
          <w:sz w:val="20"/>
          <w:szCs w:val="20"/>
          <w:lang w:val="en-GB"/>
        </w:rPr>
        <w:t xml:space="preserve">, no. 2010-02, 14 September 2011, § </w:t>
      </w:r>
      <w:r w:rsidRPr="00BE5F6F">
        <w:rPr>
          <w:rFonts w:ascii="Arial" w:hAnsi="Arial" w:cs="Arial"/>
          <w:sz w:val="20"/>
          <w:szCs w:val="20"/>
          <w:lang w:val="en-GB"/>
        </w:rPr>
        <w:t>85-89). It was therefore for the Mission to ensure that, whilst competent over these cases, they made diligent and timely use of their resources to investigate these.”).</w:t>
      </w:r>
    </w:p>
  </w:footnote>
  <w:footnote w:id="53">
    <w:p w14:paraId="3AFFC930" w14:textId="77777777" w:rsidR="002956E1" w:rsidRPr="00BE5F6F" w:rsidRDefault="002956E1" w:rsidP="00BE5F6F">
      <w:pPr>
        <w:pStyle w:val="FootnoteText"/>
        <w:jc w:val="both"/>
        <w:rPr>
          <w:rFonts w:ascii="Arial" w:hAnsi="Arial" w:cs="Arial"/>
          <w:bCs/>
          <w:color w:val="000000"/>
          <w:sz w:val="20"/>
          <w:szCs w:val="20"/>
          <w:lang w:val="en-GB"/>
        </w:rPr>
      </w:pPr>
      <w:r w:rsidRPr="00BE5F6F">
        <w:rPr>
          <w:rStyle w:val="FootnoteReference"/>
          <w:rFonts w:ascii="Arial" w:hAnsi="Arial" w:cs="Arial"/>
          <w:sz w:val="20"/>
          <w:szCs w:val="20"/>
        </w:rPr>
        <w:footnoteRef/>
      </w:r>
      <w:r w:rsidRPr="00BE5F6F">
        <w:rPr>
          <w:rFonts w:ascii="Arial" w:hAnsi="Arial" w:cs="Arial"/>
          <w:sz w:val="20"/>
          <w:szCs w:val="20"/>
        </w:rPr>
        <w:t xml:space="preserve"> See </w:t>
      </w:r>
      <w:r w:rsidRPr="00BE5F6F">
        <w:rPr>
          <w:rFonts w:ascii="Arial" w:hAnsi="Arial" w:cs="Arial"/>
          <w:i/>
          <w:sz w:val="20"/>
          <w:szCs w:val="20"/>
        </w:rPr>
        <w:t>S</w:t>
      </w:r>
      <w:r w:rsidRPr="00BE5F6F">
        <w:rPr>
          <w:rFonts w:ascii="Arial" w:hAnsi="Arial" w:cs="Arial"/>
          <w:bCs/>
          <w:i/>
          <w:color w:val="000000"/>
          <w:sz w:val="20"/>
          <w:szCs w:val="20"/>
          <w:lang w:val="en-GB"/>
        </w:rPr>
        <w:t>adik Thaqi against EULEX</w:t>
      </w:r>
      <w:r w:rsidRPr="00BE5F6F">
        <w:rPr>
          <w:rFonts w:ascii="Arial" w:hAnsi="Arial" w:cs="Arial"/>
          <w:bCs/>
          <w:color w:val="000000"/>
          <w:sz w:val="20"/>
          <w:szCs w:val="20"/>
          <w:lang w:val="en-GB"/>
        </w:rPr>
        <w:t xml:space="preserve">, 2010-02, 14 September 2011, paras. 76-77. </w:t>
      </w:r>
      <w:r w:rsidRPr="00BE5F6F">
        <w:rPr>
          <w:rFonts w:ascii="Arial" w:hAnsi="Arial" w:cs="Arial"/>
          <w:color w:val="000000"/>
          <w:sz w:val="20"/>
          <w:szCs w:val="20"/>
        </w:rPr>
        <w:t xml:space="preserve">See also </w:t>
      </w:r>
      <w:r w:rsidRPr="00BE5F6F">
        <w:rPr>
          <w:rFonts w:ascii="Arial" w:hAnsi="Arial" w:cs="Arial"/>
          <w:bCs/>
          <w:i/>
          <w:color w:val="000000"/>
          <w:sz w:val="20"/>
          <w:szCs w:val="20"/>
          <w:lang w:val="en-GB"/>
        </w:rPr>
        <w:t>Mursel Hasani against EULEX</w:t>
      </w:r>
      <w:r w:rsidRPr="00BE5F6F">
        <w:rPr>
          <w:rFonts w:ascii="Arial" w:hAnsi="Arial" w:cs="Arial"/>
          <w:bCs/>
          <w:color w:val="000000"/>
          <w:sz w:val="20"/>
          <w:szCs w:val="20"/>
          <w:lang w:val="en-GB"/>
        </w:rPr>
        <w:t xml:space="preserve">, 2010-05, 14 September 2011, paras. 72 </w:t>
      </w:r>
      <w:r w:rsidRPr="00BE5F6F">
        <w:rPr>
          <w:rFonts w:ascii="Arial" w:hAnsi="Arial" w:cs="Arial"/>
          <w:bCs/>
          <w:i/>
          <w:color w:val="000000"/>
          <w:sz w:val="20"/>
          <w:szCs w:val="20"/>
          <w:lang w:val="en-GB"/>
        </w:rPr>
        <w:t>et seq</w:t>
      </w:r>
      <w:r w:rsidRPr="00BE5F6F">
        <w:rPr>
          <w:rFonts w:ascii="Arial" w:hAnsi="Arial" w:cs="Arial"/>
          <w:bCs/>
          <w:color w:val="000000"/>
          <w:sz w:val="20"/>
          <w:szCs w:val="20"/>
          <w:lang w:val="en-GB"/>
        </w:rPr>
        <w:t>; and Latif Fanaj againt EULEX, 2010-06, 14 September 2011.</w:t>
      </w:r>
    </w:p>
  </w:footnote>
  <w:footnote w:id="54">
    <w:p w14:paraId="01D60FE8" w14:textId="77777777" w:rsidR="002956E1" w:rsidRPr="00BE5F6F" w:rsidRDefault="002956E1" w:rsidP="00BE5F6F">
      <w:pPr>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See e.g., </w:t>
      </w:r>
      <w:r w:rsidRPr="00BE5F6F">
        <w:rPr>
          <w:rFonts w:ascii="Arial" w:hAnsi="Arial" w:cs="Arial"/>
          <w:i/>
          <w:sz w:val="20"/>
          <w:szCs w:val="20"/>
        </w:rPr>
        <w:t>Sadiku-Syla against EULEX</w:t>
      </w:r>
      <w:r w:rsidRPr="00BE5F6F">
        <w:rPr>
          <w:rFonts w:ascii="Arial" w:hAnsi="Arial" w:cs="Arial"/>
          <w:sz w:val="20"/>
          <w:szCs w:val="20"/>
        </w:rPr>
        <w:t>, Case no 2014-34, Decision and Findings, 19 October 2016, para. 38</w:t>
      </w:r>
      <w:r w:rsidRPr="00BE5F6F">
        <w:rPr>
          <w:rFonts w:ascii="Arial" w:hAnsi="Arial" w:cs="Arial"/>
          <w:sz w:val="20"/>
          <w:szCs w:val="20"/>
          <w:lang w:val="en-GB"/>
        </w:rPr>
        <w:t xml:space="preserve">. </w:t>
      </w:r>
    </w:p>
  </w:footnote>
  <w:footnote w:id="55">
    <w:p w14:paraId="0C2CE61D" w14:textId="77777777" w:rsidR="002956E1" w:rsidRPr="00BE5F6F" w:rsidRDefault="002956E1" w:rsidP="00BE5F6F">
      <w:pPr>
        <w:pStyle w:val="FootnoteText"/>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w:t>
      </w:r>
      <w:r w:rsidRPr="00BE5F6F">
        <w:rPr>
          <w:rFonts w:ascii="Arial" w:hAnsi="Arial" w:cs="Arial"/>
          <w:bCs/>
          <w:i/>
          <w:sz w:val="20"/>
          <w:szCs w:val="20"/>
          <w:lang w:val="en-GB"/>
        </w:rPr>
        <w:t>D.W., E.V., F.U., G.T., Zlata Veselinović, H.S., and I.R. against EULEX</w:t>
      </w:r>
      <w:r w:rsidRPr="00BE5F6F">
        <w:rPr>
          <w:rFonts w:ascii="Arial" w:hAnsi="Arial" w:cs="Arial"/>
          <w:bCs/>
          <w:sz w:val="20"/>
          <w:szCs w:val="20"/>
          <w:lang w:val="en-GB"/>
        </w:rPr>
        <w:t>, Case No. 2014-11, 2014-12, 2014-13, 2014-14, 2014-15, 2014-16 and 2014-17, Decision and Findings, 19 October 2016, para. 55.</w:t>
      </w:r>
    </w:p>
  </w:footnote>
  <w:footnote w:id="56">
    <w:p w14:paraId="4A1A8AF7" w14:textId="1859934A" w:rsidR="002956E1" w:rsidRPr="00BE5F6F" w:rsidRDefault="002956E1" w:rsidP="00BE5F6F">
      <w:pPr>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w:t>
      </w:r>
      <w:r w:rsidRPr="00BE5F6F">
        <w:rPr>
          <w:rFonts w:ascii="Arial" w:hAnsi="Arial" w:cs="Arial"/>
          <w:i/>
          <w:sz w:val="20"/>
          <w:szCs w:val="20"/>
        </w:rPr>
        <w:t>L.O. against EULEX</w:t>
      </w:r>
      <w:r w:rsidRPr="00BE5F6F">
        <w:rPr>
          <w:rFonts w:ascii="Arial" w:hAnsi="Arial" w:cs="Arial"/>
          <w:sz w:val="20"/>
          <w:szCs w:val="20"/>
        </w:rPr>
        <w:t>, 2014-32, 11 November 2015, para. 50.</w:t>
      </w:r>
    </w:p>
  </w:footnote>
  <w:footnote w:id="57">
    <w:p w14:paraId="3623D125" w14:textId="2835DAF6" w:rsidR="002956E1" w:rsidRPr="00BE5F6F" w:rsidRDefault="002956E1" w:rsidP="00BE5F6F">
      <w:pPr>
        <w:pStyle w:val="FootnoteText"/>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See references above. See also, for illustrations: Susaj against EULEX, Inadmissibility Decision, 30 August 2013, par 9 (regarding the acts of local, Kosovo, prison authorities); </w:t>
      </w:r>
      <w:r w:rsidRPr="00BE5F6F">
        <w:rPr>
          <w:rFonts w:ascii="Arial" w:hAnsi="Arial" w:cs="Arial"/>
          <w:i/>
          <w:sz w:val="20"/>
          <w:szCs w:val="20"/>
        </w:rPr>
        <w:t>Family of Mr. Dede Gecaj against EULEX</w:t>
      </w:r>
      <w:r w:rsidRPr="00BE5F6F">
        <w:rPr>
          <w:rFonts w:ascii="Arial" w:hAnsi="Arial" w:cs="Arial"/>
          <w:sz w:val="20"/>
          <w:szCs w:val="20"/>
        </w:rPr>
        <w:t>, Inadmissibility Decision, 23 November 2011, par 53 (regarding the alleged conduct of Swiss authorities).</w:t>
      </w:r>
    </w:p>
  </w:footnote>
  <w:footnote w:id="58">
    <w:p w14:paraId="24901756" w14:textId="77777777" w:rsidR="002956E1" w:rsidRPr="00BE5F6F" w:rsidRDefault="002956E1" w:rsidP="00BE5F6F">
      <w:pPr>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See e.g. </w:t>
      </w:r>
      <w:r w:rsidRPr="00BE5F6F">
        <w:rPr>
          <w:rFonts w:ascii="Arial" w:hAnsi="Arial" w:cs="Arial"/>
          <w:i/>
          <w:sz w:val="20"/>
          <w:szCs w:val="20"/>
        </w:rPr>
        <w:t>Zahiti against EULEX</w:t>
      </w:r>
      <w:r w:rsidRPr="00BE5F6F">
        <w:rPr>
          <w:rFonts w:ascii="Arial" w:hAnsi="Arial" w:cs="Arial"/>
          <w:sz w:val="20"/>
          <w:szCs w:val="20"/>
        </w:rPr>
        <w:t>, 2012-14, 4 February 2014, pars 53-55:</w:t>
      </w:r>
    </w:p>
    <w:p w14:paraId="46DC0799" w14:textId="77777777" w:rsidR="002956E1" w:rsidRPr="00BE5F6F" w:rsidRDefault="002956E1" w:rsidP="00BE5F6F">
      <w:pPr>
        <w:autoSpaceDE w:val="0"/>
        <w:jc w:val="both"/>
        <w:rPr>
          <w:rFonts w:ascii="Arial" w:hAnsi="Arial" w:cs="Arial"/>
          <w:bCs/>
          <w:sz w:val="20"/>
          <w:szCs w:val="20"/>
          <w:lang w:val="en-GB"/>
        </w:rPr>
      </w:pPr>
    </w:p>
    <w:p w14:paraId="021C4BC2" w14:textId="77777777" w:rsidR="002956E1" w:rsidRPr="00BE5F6F" w:rsidRDefault="002956E1" w:rsidP="00BE5F6F">
      <w:pPr>
        <w:suppressAutoHyphens/>
        <w:ind w:left="567"/>
        <w:jc w:val="both"/>
        <w:rPr>
          <w:rFonts w:ascii="Arial" w:hAnsi="Arial" w:cs="Arial"/>
          <w:sz w:val="20"/>
          <w:szCs w:val="20"/>
          <w:lang w:val="en-GB"/>
        </w:rPr>
      </w:pPr>
      <w:r w:rsidRPr="00BE5F6F">
        <w:rPr>
          <w:rFonts w:ascii="Arial" w:hAnsi="Arial" w:cs="Arial"/>
          <w:sz w:val="20"/>
          <w:szCs w:val="20"/>
          <w:lang w:val="en-GB"/>
        </w:rPr>
        <w:t xml:space="preserve">“53.The Panel notes EULEX’s general submissions regarding its understanding of what its executive mandate might involve (see par. 46). As it was argued in other cases before the Panel, EULEX submits that its police officers, in particular those working within the Mission’s Strengthening Division, do not generally exercise any executive powers. </w:t>
      </w:r>
    </w:p>
    <w:p w14:paraId="1292F66B" w14:textId="77777777" w:rsidR="002956E1" w:rsidRPr="00BE5F6F" w:rsidRDefault="002956E1" w:rsidP="00BE5F6F">
      <w:pPr>
        <w:suppressAutoHyphens/>
        <w:ind w:left="567"/>
        <w:jc w:val="both"/>
        <w:rPr>
          <w:rFonts w:ascii="Arial" w:hAnsi="Arial" w:cs="Arial"/>
          <w:sz w:val="20"/>
          <w:szCs w:val="20"/>
          <w:lang w:val="en-GB"/>
        </w:rPr>
      </w:pPr>
      <w:r w:rsidRPr="00BE5F6F">
        <w:rPr>
          <w:rFonts w:ascii="Arial" w:hAnsi="Arial" w:cs="Arial"/>
          <w:sz w:val="20"/>
          <w:szCs w:val="20"/>
          <w:lang w:val="en-GB"/>
        </w:rPr>
        <w:t>54.In this respect, the Panel reiterates that it has already held in its admissibility decision that “</w:t>
      </w:r>
      <w:r w:rsidRPr="00BE5F6F">
        <w:rPr>
          <w:rFonts w:ascii="Arial" w:hAnsi="Arial" w:cs="Arial"/>
          <w:i/>
          <w:sz w:val="20"/>
          <w:szCs w:val="20"/>
          <w:lang w:val="en-GB"/>
        </w:rPr>
        <w:t>it is irrelevant whether</w:t>
      </w:r>
      <w:r w:rsidRPr="00BE5F6F">
        <w:rPr>
          <w:rFonts w:ascii="Arial" w:hAnsi="Arial" w:cs="Arial"/>
          <w:sz w:val="20"/>
          <w:szCs w:val="20"/>
          <w:lang w:val="en-GB"/>
        </w:rPr>
        <w:t xml:space="preserve"> [concerned EULEX staff member] </w:t>
      </w:r>
      <w:r w:rsidRPr="00BE5F6F">
        <w:rPr>
          <w:rFonts w:ascii="Arial" w:hAnsi="Arial" w:cs="Arial"/>
          <w:i/>
          <w:sz w:val="20"/>
          <w:szCs w:val="20"/>
          <w:lang w:val="en-GB"/>
        </w:rPr>
        <w:t>worked for one particular department within EULEX or another. This is a matter of internal organization that cannot affect third party claimants</w:t>
      </w:r>
      <w:r w:rsidRPr="00BE5F6F">
        <w:rPr>
          <w:rFonts w:ascii="Arial" w:hAnsi="Arial" w:cs="Arial"/>
          <w:sz w:val="20"/>
          <w:szCs w:val="20"/>
          <w:lang w:val="en-GB"/>
        </w:rPr>
        <w:t xml:space="preserve">” (compare </w:t>
      </w:r>
      <w:hyperlink r:id="rId5" w:history="1">
        <w:r w:rsidRPr="00BE5F6F">
          <w:rPr>
            <w:rStyle w:val="Hyperlink"/>
            <w:rFonts w:ascii="Arial" w:hAnsi="Arial" w:cs="Arial"/>
            <w:i/>
            <w:sz w:val="20"/>
            <w:szCs w:val="20"/>
            <w:lang w:val="en-GB"/>
          </w:rPr>
          <w:t>Zahiti v EULEX</w:t>
        </w:r>
      </w:hyperlink>
      <w:r w:rsidRPr="00BE5F6F">
        <w:rPr>
          <w:rFonts w:ascii="Arial" w:hAnsi="Arial" w:cs="Arial"/>
          <w:sz w:val="20"/>
          <w:szCs w:val="20"/>
          <w:lang w:val="en-GB"/>
        </w:rPr>
        <w:t xml:space="preserve">, 7 June 2013, at par. 35). </w:t>
      </w:r>
    </w:p>
    <w:p w14:paraId="2B042F68" w14:textId="77777777" w:rsidR="002956E1" w:rsidRPr="00BE5F6F" w:rsidRDefault="002956E1" w:rsidP="00BE5F6F">
      <w:pPr>
        <w:ind w:left="567"/>
        <w:jc w:val="both"/>
        <w:rPr>
          <w:rFonts w:ascii="Arial" w:hAnsi="Arial" w:cs="Arial"/>
          <w:sz w:val="20"/>
          <w:szCs w:val="20"/>
          <w:lang w:val="en-GB"/>
        </w:rPr>
      </w:pPr>
      <w:r w:rsidRPr="00BE5F6F">
        <w:rPr>
          <w:rFonts w:ascii="Arial" w:hAnsi="Arial" w:cs="Arial"/>
          <w:sz w:val="20"/>
          <w:szCs w:val="20"/>
          <w:lang w:val="en-GB"/>
        </w:rPr>
        <w:t>55.The Panel notes that EULEX did not provide a legal basis for its suggestion that “modalities as established by the Head of Mission” (see paragraph 46 above) refer to those set out by the OPLAN dividing EULEX into an Executive Division and a Strengthening Division. The Panel is not aware of any stipulations in the OPLAN that would support such an argument.”</w:t>
      </w:r>
    </w:p>
    <w:p w14:paraId="5A9B6CAA" w14:textId="77777777" w:rsidR="002956E1" w:rsidRPr="00BE5F6F" w:rsidRDefault="002956E1" w:rsidP="00BE5F6F">
      <w:pPr>
        <w:suppressAutoHyphens/>
        <w:jc w:val="both"/>
        <w:rPr>
          <w:rFonts w:ascii="Arial" w:hAnsi="Arial" w:cs="Arial"/>
          <w:sz w:val="20"/>
          <w:szCs w:val="20"/>
          <w:lang w:val="en-GB"/>
        </w:rPr>
      </w:pPr>
    </w:p>
    <w:p w14:paraId="17A4A554" w14:textId="77777777" w:rsidR="002956E1" w:rsidRPr="00BE5F6F" w:rsidRDefault="002956E1" w:rsidP="00BE5F6F">
      <w:pPr>
        <w:suppressAutoHyphens/>
        <w:jc w:val="both"/>
        <w:rPr>
          <w:rFonts w:ascii="Arial" w:hAnsi="Arial" w:cs="Arial"/>
          <w:sz w:val="20"/>
          <w:szCs w:val="20"/>
          <w:lang w:val="en-GB"/>
        </w:rPr>
      </w:pPr>
      <w:r w:rsidRPr="00BE5F6F">
        <w:rPr>
          <w:rFonts w:ascii="Arial" w:hAnsi="Arial" w:cs="Arial"/>
          <w:sz w:val="20"/>
          <w:szCs w:val="20"/>
          <w:lang w:val="en-GB"/>
        </w:rPr>
        <w:t xml:space="preserve">See also </w:t>
      </w:r>
      <w:r w:rsidRPr="00BE5F6F">
        <w:rPr>
          <w:rFonts w:ascii="Arial" w:hAnsi="Arial" w:cs="Arial"/>
          <w:i/>
          <w:sz w:val="20"/>
          <w:szCs w:val="20"/>
          <w:lang w:val="en-GB"/>
        </w:rPr>
        <w:t>Zahiti against EULEX</w:t>
      </w:r>
      <w:r w:rsidRPr="00BE5F6F">
        <w:rPr>
          <w:rFonts w:ascii="Arial" w:hAnsi="Arial" w:cs="Arial"/>
          <w:sz w:val="20"/>
          <w:szCs w:val="20"/>
          <w:lang w:val="en-GB"/>
        </w:rPr>
        <w:t xml:space="preserve">, </w:t>
      </w:r>
      <w:r w:rsidRPr="00BE5F6F">
        <w:rPr>
          <w:rFonts w:ascii="Arial" w:hAnsi="Arial" w:cs="Arial"/>
          <w:sz w:val="20"/>
          <w:szCs w:val="20"/>
        </w:rPr>
        <w:t>2012-14,</w:t>
      </w:r>
      <w:r w:rsidRPr="00BE5F6F">
        <w:rPr>
          <w:rFonts w:ascii="Arial" w:hAnsi="Arial" w:cs="Arial"/>
          <w:sz w:val="20"/>
          <w:szCs w:val="20"/>
          <w:lang w:val="en-GB"/>
        </w:rPr>
        <w:t xml:space="preserve"> 7 June 2013, pars 35-37: </w:t>
      </w:r>
    </w:p>
    <w:p w14:paraId="22674CC0" w14:textId="77777777" w:rsidR="002956E1" w:rsidRPr="00BE5F6F" w:rsidRDefault="002956E1" w:rsidP="00BE5F6F">
      <w:pPr>
        <w:suppressAutoHyphens/>
        <w:autoSpaceDE w:val="0"/>
        <w:ind w:left="567"/>
        <w:jc w:val="both"/>
        <w:rPr>
          <w:rFonts w:ascii="Arial" w:hAnsi="Arial" w:cs="Arial"/>
          <w:bCs/>
          <w:sz w:val="20"/>
          <w:szCs w:val="20"/>
          <w:lang w:val="en-GB"/>
        </w:rPr>
      </w:pPr>
      <w:r w:rsidRPr="00BE5F6F">
        <w:rPr>
          <w:rFonts w:ascii="Arial" w:hAnsi="Arial" w:cs="Arial"/>
          <w:sz w:val="20"/>
          <w:szCs w:val="20"/>
        </w:rPr>
        <w:t xml:space="preserve">“36.In so far as EULEX argued that the officer concerned could not be regarded as being vested with executive powers because he had been working as a training advisor, the Panel is of the view that it is irrelevant whether he worked for one particular department of within EULEX or another. This is a matter of internal organization that cannot affect third party claimants. </w:t>
      </w:r>
    </w:p>
    <w:p w14:paraId="6FF8354B" w14:textId="77777777" w:rsidR="002956E1" w:rsidRPr="00BE5F6F" w:rsidRDefault="002956E1" w:rsidP="00BE5F6F">
      <w:pPr>
        <w:suppressAutoHyphens/>
        <w:autoSpaceDE w:val="0"/>
        <w:ind w:left="567"/>
        <w:jc w:val="both"/>
        <w:rPr>
          <w:rFonts w:ascii="Arial" w:hAnsi="Arial" w:cs="Arial"/>
          <w:bCs/>
          <w:sz w:val="20"/>
          <w:szCs w:val="20"/>
          <w:lang w:val="en-GB"/>
        </w:rPr>
      </w:pPr>
      <w:r w:rsidRPr="00BE5F6F">
        <w:rPr>
          <w:rFonts w:ascii="Arial" w:hAnsi="Arial" w:cs="Arial"/>
          <w:sz w:val="20"/>
          <w:szCs w:val="20"/>
        </w:rPr>
        <w:t>37.The Panel notes in this connection that, pursuant to Article 17 of the Law on jurisdiction, “[f]</w:t>
      </w:r>
      <w:r w:rsidRPr="00BE5F6F">
        <w:rPr>
          <w:rFonts w:ascii="Arial" w:hAnsi="Arial" w:cs="Arial"/>
          <w:bCs/>
          <w:i/>
          <w:sz w:val="20"/>
          <w:szCs w:val="20"/>
          <w:lang w:val="en-GB"/>
        </w:rPr>
        <w:t>or the duration of the EULEX Kosovo in Kosovo, the EULEX police will have the authority to exercise the powers as recognized by the applicable law to the Kosovo Police and according to the modalities as established by the Head of the EULEX Kosovo”.</w:t>
      </w:r>
      <w:r w:rsidRPr="00BE5F6F">
        <w:rPr>
          <w:rFonts w:ascii="Arial" w:hAnsi="Arial" w:cs="Arial"/>
          <w:bCs/>
          <w:sz w:val="20"/>
          <w:szCs w:val="20"/>
          <w:lang w:val="en-GB"/>
        </w:rPr>
        <w:t xml:space="preserve"> Therefore, EULEX police as such is in principle vested with the same executive powers as Kosovo police unless otherwise qualified by the modalities set out by the HoM. The Panel is unaware of any such modalities which would have the effect of restricting EULEX’s responsibility for the actions of its police officers merely on the strength of the fact that there were charged with training activities.”</w:t>
      </w:r>
    </w:p>
  </w:footnote>
  <w:footnote w:id="59">
    <w:p w14:paraId="20216C65" w14:textId="77777777" w:rsidR="002956E1" w:rsidRPr="00BE5F6F" w:rsidRDefault="002956E1" w:rsidP="00BE5F6F">
      <w:pPr>
        <w:pStyle w:val="FootnoteText"/>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w:t>
      </w:r>
      <w:r w:rsidRPr="00BE5F6F">
        <w:rPr>
          <w:rFonts w:ascii="Arial" w:hAnsi="Arial" w:cs="Arial"/>
          <w:i/>
          <w:sz w:val="20"/>
          <w:szCs w:val="20"/>
          <w:lang w:val="en-GB"/>
        </w:rPr>
        <w:t>Zahiti against EULEX</w:t>
      </w:r>
      <w:r w:rsidRPr="00BE5F6F">
        <w:rPr>
          <w:rFonts w:ascii="Arial" w:hAnsi="Arial" w:cs="Arial"/>
          <w:sz w:val="20"/>
          <w:szCs w:val="20"/>
          <w:lang w:val="en-GB"/>
        </w:rPr>
        <w:t xml:space="preserve">, </w:t>
      </w:r>
      <w:r w:rsidRPr="00BE5F6F">
        <w:rPr>
          <w:rFonts w:ascii="Arial" w:hAnsi="Arial" w:cs="Arial"/>
          <w:sz w:val="20"/>
          <w:szCs w:val="20"/>
        </w:rPr>
        <w:t>2012-14,</w:t>
      </w:r>
      <w:r w:rsidRPr="00BE5F6F">
        <w:rPr>
          <w:rFonts w:ascii="Arial" w:hAnsi="Arial" w:cs="Arial"/>
          <w:sz w:val="20"/>
          <w:szCs w:val="20"/>
          <w:lang w:val="en-GB"/>
        </w:rPr>
        <w:t xml:space="preserve"> 7 June 2013, par </w:t>
      </w:r>
      <w:r w:rsidRPr="00BE5F6F">
        <w:rPr>
          <w:rFonts w:ascii="Arial" w:hAnsi="Arial" w:cs="Arial"/>
          <w:sz w:val="20"/>
          <w:szCs w:val="20"/>
        </w:rPr>
        <w:t>36 (“In so far as EULEX argued that the officer concerned could not be regarded as being vested with executive powers because he had been working as a training advisor, the Panel is of the view that it is irrelevant whether he worked for one particular department of within EULEX or another. This is a matter of internal organization that cannot affect third party claimants.”).</w:t>
      </w:r>
    </w:p>
  </w:footnote>
  <w:footnote w:id="60">
    <w:p w14:paraId="3D4812C4" w14:textId="77777777" w:rsidR="002956E1" w:rsidRPr="00BE5F6F" w:rsidRDefault="002956E1" w:rsidP="00BE5F6F">
      <w:pPr>
        <w:jc w:val="both"/>
        <w:rPr>
          <w:rFonts w:ascii="Arial" w:hAnsi="Arial" w:cs="Arial"/>
          <w:sz w:val="20"/>
          <w:szCs w:val="20"/>
          <w:lang w:val="fr-FR"/>
        </w:rPr>
      </w:pPr>
      <w:r w:rsidRPr="00BE5F6F">
        <w:rPr>
          <w:rStyle w:val="FootnoteReference"/>
          <w:rFonts w:ascii="Arial" w:hAnsi="Arial" w:cs="Arial"/>
          <w:sz w:val="20"/>
          <w:szCs w:val="20"/>
        </w:rPr>
        <w:footnoteRef/>
      </w:r>
      <w:r w:rsidRPr="00BE5F6F">
        <w:rPr>
          <w:rFonts w:ascii="Arial" w:hAnsi="Arial" w:cs="Arial"/>
          <w:sz w:val="20"/>
          <w:szCs w:val="20"/>
          <w:lang w:val="fr-FR"/>
        </w:rPr>
        <w:t xml:space="preserve"> </w:t>
      </w:r>
      <w:r w:rsidRPr="00BE5F6F">
        <w:rPr>
          <w:rFonts w:ascii="Arial" w:hAnsi="Arial" w:cs="Arial"/>
          <w:i/>
          <w:sz w:val="20"/>
          <w:szCs w:val="20"/>
          <w:lang w:val="fr-FR"/>
        </w:rPr>
        <w:t>Zahiti against EULEX</w:t>
      </w:r>
      <w:r w:rsidRPr="00BE5F6F">
        <w:rPr>
          <w:rFonts w:ascii="Arial" w:hAnsi="Arial" w:cs="Arial"/>
          <w:sz w:val="20"/>
          <w:szCs w:val="20"/>
          <w:lang w:val="fr-FR"/>
        </w:rPr>
        <w:t xml:space="preserve">, 2012-14, 7 June 2013, pars 32 </w:t>
      </w:r>
      <w:r w:rsidRPr="00BE5F6F">
        <w:rPr>
          <w:rFonts w:ascii="Arial" w:hAnsi="Arial" w:cs="Arial"/>
          <w:i/>
          <w:sz w:val="20"/>
          <w:szCs w:val="20"/>
          <w:lang w:val="fr-FR"/>
        </w:rPr>
        <w:t>et seq</w:t>
      </w:r>
      <w:r w:rsidRPr="00BE5F6F">
        <w:rPr>
          <w:rFonts w:ascii="Arial" w:hAnsi="Arial" w:cs="Arial"/>
          <w:sz w:val="20"/>
          <w:szCs w:val="20"/>
          <w:lang w:val="fr-FR"/>
        </w:rPr>
        <w:t>.</w:t>
      </w:r>
    </w:p>
  </w:footnote>
  <w:footnote w:id="61">
    <w:p w14:paraId="1104CC43" w14:textId="77777777" w:rsidR="002956E1" w:rsidRPr="00BE5F6F" w:rsidRDefault="002956E1" w:rsidP="00BE5F6F">
      <w:pPr>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w:t>
      </w:r>
      <w:r w:rsidRPr="00BE5F6F">
        <w:rPr>
          <w:rFonts w:ascii="Arial" w:hAnsi="Arial" w:cs="Arial"/>
          <w:i/>
          <w:sz w:val="20"/>
          <w:szCs w:val="20"/>
        </w:rPr>
        <w:t>Ibid</w:t>
      </w:r>
      <w:r w:rsidRPr="00BE5F6F">
        <w:rPr>
          <w:rFonts w:ascii="Arial" w:hAnsi="Arial" w:cs="Arial"/>
          <w:sz w:val="20"/>
          <w:szCs w:val="20"/>
        </w:rPr>
        <w:t>, paras. 38-39.</w:t>
      </w:r>
    </w:p>
  </w:footnote>
  <w:footnote w:id="62">
    <w:p w14:paraId="001CDEC4" w14:textId="77777777" w:rsidR="002956E1" w:rsidRPr="00BE5F6F" w:rsidRDefault="002956E1" w:rsidP="00BE5F6F">
      <w:pPr>
        <w:suppressAutoHyphens/>
        <w:autoSpaceDE w:val="0"/>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w:t>
      </w:r>
      <w:r w:rsidRPr="00BE5F6F">
        <w:rPr>
          <w:rFonts w:ascii="Arial" w:hAnsi="Arial" w:cs="Arial"/>
          <w:i/>
          <w:sz w:val="20"/>
          <w:szCs w:val="20"/>
        </w:rPr>
        <w:t>Ibid</w:t>
      </w:r>
      <w:r w:rsidRPr="00BE5F6F">
        <w:rPr>
          <w:rFonts w:ascii="Arial" w:hAnsi="Arial" w:cs="Arial"/>
          <w:sz w:val="20"/>
          <w:szCs w:val="20"/>
        </w:rPr>
        <w:t>, paras. 40-41</w:t>
      </w:r>
    </w:p>
    <w:p w14:paraId="6E9AB00F" w14:textId="77777777" w:rsidR="002956E1" w:rsidRPr="00BE5F6F" w:rsidRDefault="002956E1" w:rsidP="00BE5F6F">
      <w:pPr>
        <w:suppressAutoHyphens/>
        <w:autoSpaceDE w:val="0"/>
        <w:jc w:val="both"/>
        <w:rPr>
          <w:rFonts w:ascii="Arial" w:hAnsi="Arial" w:cs="Arial"/>
          <w:sz w:val="20"/>
          <w:szCs w:val="20"/>
        </w:rPr>
      </w:pPr>
    </w:p>
    <w:p w14:paraId="3F612BC2" w14:textId="77777777" w:rsidR="002956E1" w:rsidRPr="00BE5F6F" w:rsidRDefault="002956E1" w:rsidP="00BE5F6F">
      <w:pPr>
        <w:suppressAutoHyphens/>
        <w:autoSpaceDE w:val="0"/>
        <w:ind w:left="567"/>
        <w:jc w:val="both"/>
        <w:rPr>
          <w:rFonts w:ascii="Arial" w:hAnsi="Arial" w:cs="Arial"/>
          <w:bCs/>
          <w:sz w:val="20"/>
          <w:szCs w:val="20"/>
          <w:lang w:val="en-GB"/>
        </w:rPr>
      </w:pPr>
      <w:r w:rsidRPr="00BE5F6F">
        <w:rPr>
          <w:rFonts w:ascii="Arial" w:hAnsi="Arial" w:cs="Arial"/>
          <w:sz w:val="20"/>
          <w:szCs w:val="20"/>
        </w:rPr>
        <w:t xml:space="preserve">“40.The Panel will consider whether the circumstances of the case are such as to be covered by the notion of EULEX’s executive mandate. The Panel emphasizes that its task in this case is not to consider whether the officer’s misconduct may be imputed to EULEX. Rather, it is called upon to determine whether, in the circumstances of the case and for the purposes of the effective exercise of its executive mandate, EULEX was obliged to provide adequate legal avenues with a view to ensuring adequate redress for the complainant and thus to comply with its human rights obligations under Articles 8 and 13 of the ECHR. </w:t>
      </w:r>
    </w:p>
    <w:p w14:paraId="0DD88088" w14:textId="77777777" w:rsidR="002956E1" w:rsidRPr="00BE5F6F" w:rsidRDefault="002956E1" w:rsidP="00BE5F6F">
      <w:pPr>
        <w:pStyle w:val="FootnoteText"/>
        <w:ind w:left="567"/>
        <w:jc w:val="both"/>
        <w:rPr>
          <w:rFonts w:ascii="Arial" w:hAnsi="Arial" w:cs="Arial"/>
          <w:sz w:val="20"/>
          <w:szCs w:val="20"/>
        </w:rPr>
      </w:pPr>
      <w:r w:rsidRPr="00BE5F6F">
        <w:rPr>
          <w:rFonts w:ascii="Arial" w:hAnsi="Arial" w:cs="Arial"/>
          <w:color w:val="222222"/>
          <w:sz w:val="20"/>
          <w:szCs w:val="20"/>
          <w:shd w:val="clear" w:color="auto" w:fill="FFFFFF"/>
        </w:rPr>
        <w:t>41.The Panel has taken the view that, based on the material before it, the manner in which EULEX has dealt with the disciplinary process concerning one of its police officer might raise an issue regarding the right of the complainant to obtain an adequate remedy pursuant to Article 13 of the ECHR and in relation to the rights guaranteed under Article 8 of the Convention.  The Panel notes, in particular, that the information disclosed so far to the Panel does not provide clear indications of what steps, if any, were taken by EULEX to ensure that its actions did not result in a denial of complainant’s right to seek and obtain an adequate remedy. The complaint therefore raises serious issues pertaining to Articles 8 and 13 of the ECHR and is not manifestly ill-founded. No other grounds to declare it inadmissible has been established.”</w:t>
      </w:r>
    </w:p>
  </w:footnote>
  <w:footnote w:id="63">
    <w:p w14:paraId="43A0B0F5" w14:textId="7053BA18" w:rsidR="002956E1" w:rsidRPr="00BE5F6F" w:rsidRDefault="002956E1" w:rsidP="00BE5F6F">
      <w:pPr>
        <w:pStyle w:val="FootnoteText"/>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w:t>
      </w:r>
      <w:r w:rsidRPr="00BE5F6F">
        <w:rPr>
          <w:rFonts w:ascii="Arial" w:hAnsi="Arial" w:cs="Arial"/>
          <w:i/>
          <w:sz w:val="20"/>
          <w:szCs w:val="20"/>
        </w:rPr>
        <w:t>Family of Mr. Dede Gecaj against EULEX</w:t>
      </w:r>
      <w:r w:rsidRPr="00BE5F6F">
        <w:rPr>
          <w:rFonts w:ascii="Arial" w:hAnsi="Arial" w:cs="Arial"/>
          <w:sz w:val="20"/>
          <w:szCs w:val="20"/>
        </w:rPr>
        <w:t xml:space="preserve">, Inadmissibility Decision, 23 November 2011, par 53. </w:t>
      </w:r>
    </w:p>
  </w:footnote>
  <w:footnote w:id="64">
    <w:p w14:paraId="751195D9" w14:textId="3BE87016" w:rsidR="00F65556" w:rsidRPr="00BE5F6F" w:rsidRDefault="00F65556" w:rsidP="00BE5F6F">
      <w:pPr>
        <w:pStyle w:val="FootnoteText"/>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See Rule 17 (representation of the complainants). </w:t>
      </w:r>
    </w:p>
  </w:footnote>
  <w:footnote w:id="65">
    <w:p w14:paraId="2145B2DE" w14:textId="77A5AD6F" w:rsidR="00F65556" w:rsidRPr="00BE5F6F" w:rsidRDefault="00F65556" w:rsidP="00BE5F6F">
      <w:pPr>
        <w:pStyle w:val="FootnoteText"/>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Regarding the status of victim of the complainant, see, generally, </w:t>
      </w:r>
      <w:r w:rsidRPr="00BE5F6F">
        <w:rPr>
          <w:rStyle w:val="Emphasis"/>
          <w:rFonts w:ascii="Arial" w:hAnsi="Arial" w:cs="Arial"/>
          <w:sz w:val="20"/>
          <w:szCs w:val="20"/>
        </w:rPr>
        <w:fldChar w:fldCharType="begin"/>
      </w:r>
      <w:r w:rsidRPr="00BE5F6F">
        <w:rPr>
          <w:rStyle w:val="Emphasis"/>
          <w:rFonts w:ascii="Arial" w:hAnsi="Arial" w:cs="Arial"/>
          <w:sz w:val="20"/>
          <w:szCs w:val="20"/>
        </w:rPr>
        <w:instrText xml:space="preserve"> HYPERLINK "http://www.hrrp.eu/docs/decisions/Inadmissibility%20decision%202014-41%20pdf.pdf" \t "_blank" </w:instrText>
      </w:r>
      <w:r w:rsidRPr="00BE5F6F">
        <w:rPr>
          <w:rStyle w:val="Emphasis"/>
          <w:rFonts w:ascii="Arial" w:hAnsi="Arial" w:cs="Arial"/>
          <w:sz w:val="20"/>
          <w:szCs w:val="20"/>
        </w:rPr>
        <w:fldChar w:fldCharType="separate"/>
      </w:r>
      <w:r w:rsidRPr="00BE5F6F">
        <w:rPr>
          <w:rStyle w:val="Hyperlink"/>
          <w:rFonts w:ascii="Arial" w:hAnsi="Arial" w:cs="Arial"/>
          <w:i/>
          <w:iCs/>
          <w:color w:val="auto"/>
          <w:sz w:val="20"/>
          <w:szCs w:val="20"/>
          <w:u w:val="none"/>
        </w:rPr>
        <w:t>Mustafa-S</w:t>
      </w:r>
      <w:r w:rsidRPr="00BE5F6F">
        <w:rPr>
          <w:rStyle w:val="Hyperlink"/>
          <w:rFonts w:ascii="Arial" w:hAnsi="Arial" w:cs="Arial"/>
          <w:i/>
          <w:iCs/>
          <w:color w:val="auto"/>
          <w:sz w:val="20"/>
          <w:szCs w:val="20"/>
          <w:u w:val="none"/>
        </w:rPr>
        <w:t>adiku against EULEX</w:t>
      </w:r>
      <w:r w:rsidRPr="00BE5F6F">
        <w:rPr>
          <w:rStyle w:val="Emphasis"/>
          <w:rFonts w:ascii="Arial" w:hAnsi="Arial" w:cs="Arial"/>
          <w:sz w:val="20"/>
          <w:szCs w:val="20"/>
        </w:rPr>
        <w:fldChar w:fldCharType="end"/>
      </w:r>
      <w:r w:rsidRPr="00BE5F6F">
        <w:rPr>
          <w:rStyle w:val="Emphasis"/>
          <w:rFonts w:ascii="Arial" w:hAnsi="Arial" w:cs="Arial"/>
          <w:sz w:val="20"/>
          <w:szCs w:val="20"/>
        </w:rPr>
        <w:t>, </w:t>
      </w:r>
      <w:r w:rsidRPr="00BE5F6F">
        <w:rPr>
          <w:rFonts w:ascii="Arial" w:hAnsi="Arial" w:cs="Arial"/>
          <w:sz w:val="20"/>
          <w:szCs w:val="20"/>
        </w:rPr>
        <w:t xml:space="preserve"> 15 June 2015, par 14; </w:t>
      </w:r>
      <w:r w:rsidRPr="00BE5F6F">
        <w:rPr>
          <w:rStyle w:val="Emphasis"/>
          <w:rFonts w:ascii="Arial" w:hAnsi="Arial" w:cs="Arial"/>
          <w:sz w:val="20"/>
          <w:szCs w:val="20"/>
        </w:rPr>
        <w:fldChar w:fldCharType="begin"/>
      </w:r>
      <w:r w:rsidRPr="00BE5F6F">
        <w:rPr>
          <w:rStyle w:val="Emphasis"/>
          <w:rFonts w:ascii="Arial" w:hAnsi="Arial" w:cs="Arial"/>
          <w:sz w:val="20"/>
          <w:szCs w:val="20"/>
        </w:rPr>
        <w:instrText xml:space="preserve"> HYPERLINK "http://www.hrrp.eu/docs/decisions/Inadmissibility%20decision%202013-01.pdf" </w:instrText>
      </w:r>
      <w:r w:rsidRPr="00BE5F6F">
        <w:rPr>
          <w:rStyle w:val="Emphasis"/>
          <w:rFonts w:ascii="Arial" w:hAnsi="Arial" w:cs="Arial"/>
          <w:sz w:val="20"/>
          <w:szCs w:val="20"/>
        </w:rPr>
        <w:fldChar w:fldCharType="separate"/>
      </w:r>
      <w:r w:rsidRPr="00BE5F6F">
        <w:rPr>
          <w:rStyle w:val="Hyperlink"/>
          <w:rFonts w:ascii="Arial" w:hAnsi="Arial" w:cs="Arial"/>
          <w:i/>
          <w:iCs/>
          <w:color w:val="auto"/>
          <w:sz w:val="20"/>
          <w:szCs w:val="20"/>
          <w:u w:val="none"/>
        </w:rPr>
        <w:t>I against EULEX</w:t>
      </w:r>
      <w:r w:rsidRPr="00BE5F6F">
        <w:rPr>
          <w:rStyle w:val="Emphasis"/>
          <w:rFonts w:ascii="Arial" w:hAnsi="Arial" w:cs="Arial"/>
          <w:sz w:val="20"/>
          <w:szCs w:val="20"/>
        </w:rPr>
        <w:fldChar w:fldCharType="end"/>
      </w:r>
      <w:r w:rsidRPr="00BE5F6F">
        <w:rPr>
          <w:rFonts w:ascii="Arial" w:hAnsi="Arial" w:cs="Arial"/>
          <w:sz w:val="20"/>
          <w:szCs w:val="20"/>
        </w:rPr>
        <w:t xml:space="preserve">, 27 November 2013, at par. 17-22; </w:t>
      </w:r>
      <w:hyperlink r:id="rId6" w:tgtFrame="_blank" w:history="1">
        <w:r w:rsidRPr="00BE5F6F">
          <w:rPr>
            <w:rStyle w:val="Hyperlink"/>
            <w:rFonts w:ascii="Arial" w:hAnsi="Arial" w:cs="Arial"/>
            <w:i/>
            <w:iCs/>
            <w:color w:val="auto"/>
            <w:sz w:val="20"/>
            <w:szCs w:val="20"/>
            <w:u w:val="none"/>
          </w:rPr>
          <w:t>Emërllahu against EULEX</w:t>
        </w:r>
      </w:hyperlink>
      <w:r w:rsidRPr="00BE5F6F">
        <w:rPr>
          <w:rStyle w:val="Emphasis"/>
          <w:rFonts w:ascii="Arial" w:hAnsi="Arial" w:cs="Arial"/>
          <w:sz w:val="20"/>
          <w:szCs w:val="20"/>
        </w:rPr>
        <w:t xml:space="preserve">, </w:t>
      </w:r>
      <w:r w:rsidRPr="00BE5F6F">
        <w:rPr>
          <w:rFonts w:ascii="Arial" w:hAnsi="Arial" w:cs="Arial"/>
          <w:sz w:val="20"/>
          <w:szCs w:val="20"/>
        </w:rPr>
        <w:t xml:space="preserve">8 April 2013, pars 10-13; </w:t>
      </w:r>
      <w:hyperlink r:id="rId7" w:tgtFrame="_blank" w:history="1">
        <w:r w:rsidRPr="00BE5F6F">
          <w:rPr>
            <w:rStyle w:val="Hyperlink"/>
            <w:rFonts w:ascii="Arial" w:hAnsi="Arial" w:cs="Arial"/>
            <w:i/>
            <w:iCs/>
            <w:color w:val="auto"/>
            <w:sz w:val="20"/>
            <w:szCs w:val="20"/>
            <w:u w:val="none"/>
          </w:rPr>
          <w:t>A,B,C &amp; D against EULEX (admissibility decision)</w:t>
        </w:r>
      </w:hyperlink>
      <w:r w:rsidRPr="00BE5F6F">
        <w:rPr>
          <w:rFonts w:ascii="Arial" w:hAnsi="Arial" w:cs="Arial"/>
          <w:sz w:val="20"/>
          <w:szCs w:val="20"/>
        </w:rPr>
        <w:t xml:space="preserve">,10 April 2013, par 52-55; </w:t>
      </w:r>
      <w:hyperlink r:id="rId8" w:history="1">
        <w:r w:rsidRPr="00BE5F6F">
          <w:rPr>
            <w:rStyle w:val="Hyperlink"/>
            <w:rFonts w:ascii="Arial" w:hAnsi="Arial" w:cs="Arial"/>
            <w:i/>
            <w:iCs/>
            <w:color w:val="auto"/>
            <w:sz w:val="20"/>
            <w:szCs w:val="20"/>
            <w:u w:val="none"/>
          </w:rPr>
          <w:t>Ibishi against EULEX</w:t>
        </w:r>
      </w:hyperlink>
      <w:r w:rsidRPr="00BE5F6F">
        <w:rPr>
          <w:rStyle w:val="Emphasis"/>
          <w:rFonts w:ascii="Arial" w:hAnsi="Arial" w:cs="Arial"/>
          <w:sz w:val="20"/>
          <w:szCs w:val="20"/>
        </w:rPr>
        <w:t>, </w:t>
      </w:r>
      <w:r w:rsidRPr="00BE5F6F">
        <w:rPr>
          <w:rFonts w:ascii="Arial" w:hAnsi="Arial" w:cs="Arial"/>
          <w:sz w:val="20"/>
          <w:szCs w:val="20"/>
        </w:rPr>
        <w:t xml:space="preserve"> 15 January 2013, pars 6-8; </w:t>
      </w:r>
      <w:hyperlink r:id="rId9" w:history="1">
        <w:r w:rsidRPr="00BE5F6F">
          <w:rPr>
            <w:rStyle w:val="Hyperlink"/>
            <w:rFonts w:ascii="Arial" w:hAnsi="Arial" w:cs="Arial"/>
            <w:i/>
            <w:iCs/>
            <w:color w:val="auto"/>
            <w:sz w:val="20"/>
            <w:szCs w:val="20"/>
            <w:u w:val="none"/>
          </w:rPr>
          <w:t>Rexhepi against EULEX</w:t>
        </w:r>
      </w:hyperlink>
      <w:r w:rsidRPr="00BE5F6F">
        <w:rPr>
          <w:rStyle w:val="Emphasis"/>
          <w:rFonts w:ascii="Arial" w:hAnsi="Arial" w:cs="Arial"/>
          <w:sz w:val="20"/>
          <w:szCs w:val="20"/>
        </w:rPr>
        <w:t>, </w:t>
      </w:r>
      <w:r w:rsidRPr="00BE5F6F">
        <w:rPr>
          <w:rFonts w:ascii="Arial" w:hAnsi="Arial" w:cs="Arial"/>
          <w:sz w:val="20"/>
          <w:szCs w:val="20"/>
        </w:rPr>
        <w:t xml:space="preserve"> 20 March 2012, pars 43-47; </w:t>
      </w:r>
      <w:hyperlink r:id="rId10" w:history="1">
        <w:r w:rsidRPr="00BE5F6F">
          <w:rPr>
            <w:rStyle w:val="Hyperlink"/>
            <w:rFonts w:ascii="Arial" w:hAnsi="Arial" w:cs="Arial"/>
            <w:i/>
            <w:iCs/>
            <w:color w:val="auto"/>
            <w:sz w:val="20"/>
            <w:szCs w:val="20"/>
            <w:u w:val="none"/>
          </w:rPr>
          <w:t>Smajli against EULEX</w:t>
        </w:r>
      </w:hyperlink>
      <w:r w:rsidRPr="00BE5F6F">
        <w:rPr>
          <w:rStyle w:val="Emphasis"/>
          <w:rFonts w:ascii="Arial" w:hAnsi="Arial" w:cs="Arial"/>
          <w:sz w:val="20"/>
          <w:szCs w:val="20"/>
        </w:rPr>
        <w:t>, </w:t>
      </w:r>
      <w:r w:rsidRPr="00BE5F6F">
        <w:rPr>
          <w:rFonts w:ascii="Arial" w:hAnsi="Arial" w:cs="Arial"/>
          <w:sz w:val="20"/>
          <w:szCs w:val="20"/>
        </w:rPr>
        <w:t xml:space="preserve"> 23 November 2011, par 15.</w:t>
      </w:r>
    </w:p>
  </w:footnote>
  <w:footnote w:id="66">
    <w:p w14:paraId="5C77FF96" w14:textId="197AB667" w:rsidR="00F65556" w:rsidRPr="00BE5F6F" w:rsidRDefault="00F65556" w:rsidP="00BE5F6F">
      <w:pPr>
        <w:pStyle w:val="FootnoteText"/>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w:t>
      </w:r>
      <w:hyperlink r:id="rId11" w:tgtFrame="_blank" w:history="1">
        <w:r w:rsidRPr="00BE5F6F">
          <w:rPr>
            <w:rStyle w:val="Hyperlink"/>
            <w:rFonts w:ascii="Arial" w:hAnsi="Arial" w:cs="Arial"/>
            <w:i/>
            <w:iCs/>
            <w:color w:val="auto"/>
            <w:sz w:val="20"/>
            <w:szCs w:val="20"/>
            <w:u w:val="none"/>
          </w:rPr>
          <w:t>Mustafa-Sadiku against EULEX</w:t>
        </w:r>
      </w:hyperlink>
      <w:r w:rsidRPr="00BE5F6F">
        <w:rPr>
          <w:rStyle w:val="Emphasis"/>
          <w:rFonts w:ascii="Arial" w:hAnsi="Arial" w:cs="Arial"/>
          <w:sz w:val="20"/>
          <w:szCs w:val="20"/>
        </w:rPr>
        <w:t>, </w:t>
      </w:r>
      <w:r w:rsidRPr="00BE5F6F">
        <w:rPr>
          <w:rFonts w:ascii="Arial" w:hAnsi="Arial" w:cs="Arial"/>
          <w:sz w:val="20"/>
          <w:szCs w:val="20"/>
        </w:rPr>
        <w:t xml:space="preserve"> 15 June 2015, at par 14, referring to: Velikova v. Bulgaria (dec.), no. 41488/98, 18 May 2005; Keenan v. the United Kingdom, no. 27229/95, ECHR 2001</w:t>
      </w:r>
      <w:r w:rsidRPr="00BE5F6F">
        <w:rPr>
          <w:rFonts w:ascii="Arial" w:hAnsi="Arial" w:cs="Arial"/>
          <w:sz w:val="20"/>
          <w:szCs w:val="20"/>
        </w:rPr>
        <w:noBreakHyphen/>
        <w:t>III; Lambert and others v. France, no. 46043/14, 5 June 2015, §§ 89-90; Mezhiyeva v. Russia, no. 44297/06, 16 April 2015, § 55.</w:t>
      </w:r>
      <w:r w:rsidR="00F943C0" w:rsidRPr="00BE5F6F">
        <w:rPr>
          <w:rFonts w:ascii="Arial" w:hAnsi="Arial" w:cs="Arial"/>
          <w:sz w:val="20"/>
          <w:szCs w:val="20"/>
        </w:rPr>
        <w:t xml:space="preserve"> </w:t>
      </w:r>
    </w:p>
  </w:footnote>
  <w:footnote w:id="67">
    <w:p w14:paraId="5B59BBB1" w14:textId="5C73DF58" w:rsidR="00F943C0" w:rsidRPr="00BE5F6F" w:rsidRDefault="00F943C0" w:rsidP="00BE5F6F">
      <w:pPr>
        <w:pStyle w:val="FootnoteText"/>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w:t>
      </w:r>
      <w:r w:rsidRPr="00BE5F6F">
        <w:rPr>
          <w:rFonts w:ascii="Arial" w:hAnsi="Arial" w:cs="Arial"/>
          <w:bCs/>
          <w:i/>
          <w:sz w:val="20"/>
          <w:szCs w:val="20"/>
          <w:lang w:val="en-GB"/>
        </w:rPr>
        <w:t>Faik Ibishi against EULEX</w:t>
      </w:r>
      <w:r w:rsidRPr="00BE5F6F">
        <w:rPr>
          <w:rFonts w:ascii="Arial" w:hAnsi="Arial" w:cs="Arial"/>
          <w:bCs/>
          <w:sz w:val="20"/>
          <w:szCs w:val="20"/>
          <w:lang w:val="en-GB"/>
        </w:rPr>
        <w:t>, 15 January 2013, par 7, r</w:t>
      </w:r>
      <w:r w:rsidR="00E87A72">
        <w:rPr>
          <w:rFonts w:ascii="Arial" w:hAnsi="Arial" w:cs="Arial"/>
          <w:sz w:val="20"/>
          <w:szCs w:val="20"/>
        </w:rPr>
        <w:t>eferr</w:t>
      </w:r>
      <w:bookmarkStart w:id="15" w:name="_GoBack"/>
      <w:bookmarkEnd w:id="15"/>
      <w:r w:rsidRPr="00BE5F6F">
        <w:rPr>
          <w:rFonts w:ascii="Arial" w:hAnsi="Arial" w:cs="Arial"/>
          <w:sz w:val="20"/>
          <w:szCs w:val="20"/>
        </w:rPr>
        <w:t xml:space="preserve">ing to: see, </w:t>
      </w:r>
      <w:r w:rsidRPr="00BE5F6F">
        <w:rPr>
          <w:rFonts w:ascii="Arial" w:hAnsi="Arial" w:cs="Arial"/>
          <w:i/>
          <w:sz w:val="20"/>
          <w:szCs w:val="20"/>
        </w:rPr>
        <w:t>mutatis mutandis</w:t>
      </w:r>
      <w:r w:rsidRPr="00BE5F6F">
        <w:rPr>
          <w:rFonts w:ascii="Arial" w:hAnsi="Arial" w:cs="Arial"/>
          <w:sz w:val="20"/>
          <w:szCs w:val="20"/>
        </w:rPr>
        <w:t xml:space="preserve">, </w:t>
      </w:r>
      <w:r w:rsidRPr="00BE5F6F">
        <w:rPr>
          <w:rFonts w:ascii="Arial" w:hAnsi="Arial" w:cs="Arial"/>
          <w:i/>
          <w:sz w:val="20"/>
          <w:szCs w:val="20"/>
        </w:rPr>
        <w:t>Kurt v. Turkey</w:t>
      </w:r>
      <w:r w:rsidRPr="00BE5F6F">
        <w:rPr>
          <w:rFonts w:ascii="Arial" w:hAnsi="Arial" w:cs="Arial"/>
          <w:sz w:val="20"/>
          <w:szCs w:val="20"/>
        </w:rPr>
        <w:t xml:space="preserve">, judgment of 25 May 1998, Reports 1998-III, §§ 130-134; </w:t>
      </w:r>
      <w:r w:rsidRPr="00BE5F6F">
        <w:rPr>
          <w:rFonts w:ascii="Arial" w:hAnsi="Arial" w:cs="Arial"/>
          <w:i/>
          <w:sz w:val="20"/>
          <w:szCs w:val="20"/>
        </w:rPr>
        <w:t>Yaşa v. Turkey,</w:t>
      </w:r>
      <w:r w:rsidRPr="00BE5F6F">
        <w:rPr>
          <w:rFonts w:ascii="Arial" w:hAnsi="Arial" w:cs="Arial"/>
          <w:sz w:val="20"/>
          <w:szCs w:val="20"/>
        </w:rPr>
        <w:t xml:space="preserve"> judgment of 2 September 1998, Reports on Judgments and Decisions 1998-VI, § 71; and conversely, </w:t>
      </w:r>
      <w:r w:rsidRPr="00BE5F6F">
        <w:rPr>
          <w:rFonts w:ascii="Arial" w:hAnsi="Arial" w:cs="Arial"/>
          <w:i/>
          <w:sz w:val="20"/>
          <w:szCs w:val="20"/>
        </w:rPr>
        <w:t>Çakıcı v. Turkey</w:t>
      </w:r>
      <w:r w:rsidRPr="00BE5F6F">
        <w:rPr>
          <w:rFonts w:ascii="Arial" w:hAnsi="Arial" w:cs="Arial"/>
          <w:sz w:val="20"/>
          <w:szCs w:val="20"/>
        </w:rPr>
        <w:t xml:space="preserve"> [GC], no. 23657/94, §§ 98-99, ECHR 1999-IV.</w:t>
      </w:r>
    </w:p>
  </w:footnote>
  <w:footnote w:id="68">
    <w:p w14:paraId="2DF4C510" w14:textId="0E9E13A6" w:rsidR="00F65556" w:rsidRPr="00BE5F6F" w:rsidRDefault="00F65556" w:rsidP="00BE5F6F">
      <w:pPr>
        <w:autoSpaceDE w:val="0"/>
        <w:jc w:val="both"/>
        <w:rPr>
          <w:rFonts w:ascii="Arial" w:hAnsi="Arial" w:cs="Arial"/>
          <w:bCs/>
          <w:sz w:val="20"/>
          <w:szCs w:val="20"/>
          <w:lang w:val="en-GB"/>
        </w:rPr>
      </w:pPr>
      <w:r w:rsidRPr="00BE5F6F">
        <w:rPr>
          <w:rStyle w:val="FootnoteReference"/>
          <w:rFonts w:ascii="Arial" w:hAnsi="Arial" w:cs="Arial"/>
          <w:sz w:val="20"/>
          <w:szCs w:val="20"/>
        </w:rPr>
        <w:footnoteRef/>
      </w:r>
      <w:r w:rsidRPr="00BE5F6F">
        <w:rPr>
          <w:rFonts w:ascii="Arial" w:hAnsi="Arial" w:cs="Arial"/>
          <w:sz w:val="20"/>
          <w:szCs w:val="20"/>
        </w:rPr>
        <w:t xml:space="preserve"> </w:t>
      </w:r>
      <w:r w:rsidR="00F943C0" w:rsidRPr="00BE5F6F">
        <w:rPr>
          <w:rFonts w:ascii="Arial" w:hAnsi="Arial" w:cs="Arial"/>
          <w:sz w:val="20"/>
          <w:szCs w:val="20"/>
        </w:rPr>
        <w:t xml:space="preserve">See, again, </w:t>
      </w:r>
      <w:hyperlink r:id="rId12" w:tgtFrame="_blank" w:history="1">
        <w:r w:rsidR="00F943C0" w:rsidRPr="00BE5F6F">
          <w:rPr>
            <w:rStyle w:val="Hyperlink"/>
            <w:rFonts w:ascii="Arial" w:hAnsi="Arial" w:cs="Arial"/>
            <w:i/>
            <w:iCs/>
            <w:color w:val="auto"/>
            <w:sz w:val="20"/>
            <w:szCs w:val="20"/>
            <w:u w:val="none"/>
          </w:rPr>
          <w:t>Mustafa-Sadiku against EULEX</w:t>
        </w:r>
      </w:hyperlink>
      <w:r w:rsidR="00F943C0" w:rsidRPr="00BE5F6F">
        <w:rPr>
          <w:rStyle w:val="Emphasis"/>
          <w:rFonts w:ascii="Arial" w:hAnsi="Arial" w:cs="Arial"/>
          <w:sz w:val="20"/>
          <w:szCs w:val="20"/>
        </w:rPr>
        <w:t>, </w:t>
      </w:r>
      <w:r w:rsidR="00F943C0" w:rsidRPr="00BE5F6F">
        <w:rPr>
          <w:rFonts w:ascii="Arial" w:hAnsi="Arial" w:cs="Arial"/>
          <w:sz w:val="20"/>
          <w:szCs w:val="20"/>
        </w:rPr>
        <w:t xml:space="preserve"> 15 June 2015, at par 14</w:t>
      </w:r>
      <w:r w:rsidRPr="00BE5F6F">
        <w:rPr>
          <w:rFonts w:ascii="Arial" w:hAnsi="Arial" w:cs="Arial"/>
          <w:sz w:val="20"/>
          <w:szCs w:val="20"/>
        </w:rPr>
        <w:t>.</w:t>
      </w:r>
      <w:r w:rsidR="00F943C0" w:rsidRPr="00BE5F6F">
        <w:rPr>
          <w:rFonts w:ascii="Arial" w:hAnsi="Arial" w:cs="Arial"/>
          <w:sz w:val="20"/>
          <w:szCs w:val="20"/>
        </w:rPr>
        <w:t xml:space="preserve"> See also </w:t>
      </w:r>
      <w:r w:rsidR="00F943C0" w:rsidRPr="00BE5F6F">
        <w:rPr>
          <w:rFonts w:ascii="Arial" w:hAnsi="Arial" w:cs="Arial"/>
          <w:bCs/>
          <w:i/>
          <w:sz w:val="20"/>
          <w:szCs w:val="20"/>
          <w:lang w:val="en-GB"/>
        </w:rPr>
        <w:t>Faik Ibishi against EULEX</w:t>
      </w:r>
      <w:r w:rsidR="00F943C0" w:rsidRPr="00BE5F6F">
        <w:rPr>
          <w:rFonts w:ascii="Arial" w:hAnsi="Arial" w:cs="Arial"/>
          <w:bCs/>
          <w:sz w:val="20"/>
          <w:szCs w:val="20"/>
          <w:lang w:val="en-GB"/>
        </w:rPr>
        <w:t>, 15 January 2013, par 7.</w:t>
      </w:r>
    </w:p>
  </w:footnote>
  <w:footnote w:id="69">
    <w:p w14:paraId="18D27890" w14:textId="6A278B32" w:rsidR="00F943C0" w:rsidRPr="00BE5F6F" w:rsidRDefault="00F943C0" w:rsidP="00BE5F6F">
      <w:pPr>
        <w:pStyle w:val="FootnoteText"/>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See, again, </w:t>
      </w:r>
      <w:r w:rsidRPr="00BE5F6F">
        <w:rPr>
          <w:rFonts w:ascii="Arial" w:hAnsi="Arial" w:cs="Arial"/>
          <w:bCs/>
          <w:i/>
          <w:sz w:val="20"/>
          <w:szCs w:val="20"/>
          <w:lang w:val="en-GB"/>
        </w:rPr>
        <w:t>Faik Ibishi against EULEX</w:t>
      </w:r>
      <w:r w:rsidRPr="00BE5F6F">
        <w:rPr>
          <w:rFonts w:ascii="Arial" w:hAnsi="Arial" w:cs="Arial"/>
          <w:bCs/>
          <w:sz w:val="20"/>
          <w:szCs w:val="20"/>
          <w:lang w:val="en-GB"/>
        </w:rPr>
        <w:t>, 15 January 2013, par 7.</w:t>
      </w:r>
    </w:p>
  </w:footnote>
  <w:footnote w:id="70">
    <w:p w14:paraId="2E0F2143" w14:textId="19249052" w:rsidR="00A46E4E" w:rsidRPr="00BE5F6F" w:rsidRDefault="002956E1" w:rsidP="00BE5F6F">
      <w:pPr>
        <w:pStyle w:val="FootnoteText"/>
        <w:jc w:val="both"/>
        <w:rPr>
          <w:rFonts w:ascii="Arial" w:hAnsi="Arial" w:cs="Arial"/>
          <w:sz w:val="20"/>
          <w:szCs w:val="20"/>
        </w:rPr>
      </w:pPr>
      <w:r w:rsidRPr="00BE5F6F">
        <w:rPr>
          <w:rStyle w:val="FootnoteReference"/>
          <w:rFonts w:ascii="Arial" w:hAnsi="Arial" w:cs="Arial"/>
          <w:sz w:val="20"/>
          <w:szCs w:val="20"/>
        </w:rPr>
        <w:footnoteRef/>
      </w:r>
      <w:r w:rsidR="00A46E4E" w:rsidRPr="00BE5F6F">
        <w:rPr>
          <w:rFonts w:ascii="Arial" w:hAnsi="Arial" w:cs="Arial"/>
          <w:sz w:val="20"/>
          <w:szCs w:val="20"/>
        </w:rPr>
        <w:t xml:space="preserve"> See, e.g., </w:t>
      </w:r>
      <w:r w:rsidR="00A46E4E" w:rsidRPr="00E87A72">
        <w:rPr>
          <w:rFonts w:ascii="Arial" w:hAnsi="Arial" w:cs="Arial"/>
          <w:i/>
          <w:sz w:val="20"/>
          <w:szCs w:val="20"/>
        </w:rPr>
        <w:t>Halili against EULEX</w:t>
      </w:r>
      <w:r w:rsidR="00A46E4E" w:rsidRPr="00BE5F6F">
        <w:rPr>
          <w:rFonts w:ascii="Arial" w:hAnsi="Arial" w:cs="Arial"/>
          <w:sz w:val="20"/>
          <w:szCs w:val="20"/>
        </w:rPr>
        <w:t xml:space="preserve">, 15 January 2013, par 21; </w:t>
      </w:r>
      <w:r w:rsidR="00A46E4E" w:rsidRPr="00E87A72">
        <w:rPr>
          <w:rFonts w:ascii="Arial" w:hAnsi="Arial" w:cs="Arial"/>
          <w:i/>
          <w:sz w:val="20"/>
          <w:szCs w:val="20"/>
        </w:rPr>
        <w:t>Sharku against EULEX</w:t>
      </w:r>
      <w:r w:rsidR="00A46E4E" w:rsidRPr="00BE5F6F">
        <w:rPr>
          <w:rFonts w:ascii="Arial" w:hAnsi="Arial" w:cs="Arial"/>
          <w:sz w:val="20"/>
          <w:szCs w:val="20"/>
        </w:rPr>
        <w:t xml:space="preserve">, 20 March 2012, par 21. </w:t>
      </w:r>
    </w:p>
  </w:footnote>
  <w:footnote w:id="71">
    <w:p w14:paraId="40F427F2" w14:textId="782CD09C" w:rsidR="00A46E4E" w:rsidRPr="00BE5F6F" w:rsidRDefault="002956E1" w:rsidP="00BE5F6F">
      <w:pPr>
        <w:pStyle w:val="FootnoteText"/>
        <w:jc w:val="both"/>
        <w:rPr>
          <w:rFonts w:ascii="Arial" w:hAnsi="Arial" w:cs="Arial"/>
          <w:sz w:val="20"/>
          <w:szCs w:val="20"/>
        </w:rPr>
      </w:pPr>
      <w:r w:rsidRPr="00BE5F6F">
        <w:rPr>
          <w:rStyle w:val="FootnoteReference"/>
          <w:rFonts w:ascii="Arial" w:hAnsi="Arial" w:cs="Arial"/>
          <w:sz w:val="20"/>
          <w:szCs w:val="20"/>
        </w:rPr>
        <w:footnoteRef/>
      </w:r>
      <w:r w:rsidR="00A46E4E" w:rsidRPr="00BE5F6F">
        <w:rPr>
          <w:rFonts w:ascii="Arial" w:hAnsi="Arial" w:cs="Arial"/>
          <w:sz w:val="20"/>
          <w:szCs w:val="20"/>
        </w:rPr>
        <w:t xml:space="preserve"> See, e.g., </w:t>
      </w:r>
      <w:r w:rsidR="00A46E4E" w:rsidRPr="00E87A72">
        <w:rPr>
          <w:rFonts w:ascii="Arial" w:hAnsi="Arial" w:cs="Arial"/>
          <w:i/>
          <w:sz w:val="20"/>
          <w:szCs w:val="20"/>
        </w:rPr>
        <w:t>L.O. against EULEX</w:t>
      </w:r>
      <w:r w:rsidR="00A46E4E" w:rsidRPr="00BE5F6F">
        <w:rPr>
          <w:rFonts w:ascii="Arial" w:hAnsi="Arial" w:cs="Arial"/>
          <w:sz w:val="20"/>
          <w:szCs w:val="20"/>
        </w:rPr>
        <w:t xml:space="preserve">, 11 November 2015, conclusion; </w:t>
      </w:r>
      <w:r w:rsidR="00A46E4E" w:rsidRPr="00E87A72">
        <w:rPr>
          <w:rFonts w:ascii="Arial" w:hAnsi="Arial" w:cs="Arial"/>
          <w:i/>
          <w:sz w:val="20"/>
          <w:szCs w:val="20"/>
        </w:rPr>
        <w:t>Maksutaj against EULEX</w:t>
      </w:r>
      <w:r w:rsidR="00A46E4E" w:rsidRPr="00BE5F6F">
        <w:rPr>
          <w:rFonts w:ascii="Arial" w:hAnsi="Arial" w:cs="Arial"/>
          <w:sz w:val="20"/>
          <w:szCs w:val="20"/>
        </w:rPr>
        <w:t xml:space="preserve">, 12 November 2015, conclusion; </w:t>
      </w:r>
      <w:r w:rsidR="00A46E4E" w:rsidRPr="00E87A72">
        <w:rPr>
          <w:rFonts w:ascii="Arial" w:hAnsi="Arial" w:cs="Arial"/>
          <w:i/>
          <w:sz w:val="20"/>
          <w:szCs w:val="20"/>
        </w:rPr>
        <w:t>X and 115 Others against EULEX</w:t>
      </w:r>
      <w:r w:rsidR="00A46E4E" w:rsidRPr="00BE5F6F">
        <w:rPr>
          <w:rFonts w:ascii="Arial" w:hAnsi="Arial" w:cs="Arial"/>
          <w:sz w:val="20"/>
          <w:szCs w:val="20"/>
        </w:rPr>
        <w:t xml:space="preserve">, 22 April 2015, conclusion; </w:t>
      </w:r>
      <w:r w:rsidR="00A46E4E" w:rsidRPr="00E87A72">
        <w:rPr>
          <w:rFonts w:ascii="Arial" w:hAnsi="Arial" w:cs="Arial"/>
          <w:i/>
          <w:sz w:val="20"/>
          <w:szCs w:val="20"/>
        </w:rPr>
        <w:t>Zahiti against EULEX</w:t>
      </w:r>
      <w:r w:rsidR="00A46E4E" w:rsidRPr="00BE5F6F">
        <w:rPr>
          <w:rFonts w:ascii="Arial" w:hAnsi="Arial" w:cs="Arial"/>
          <w:sz w:val="20"/>
          <w:szCs w:val="20"/>
        </w:rPr>
        <w:t xml:space="preserve">, 4 February 2014, conclusion. See also Rule 34 of the Panel’s Rules of Procedure.  </w:t>
      </w:r>
      <w:r w:rsidR="00A46E4E" w:rsidRPr="00BE5F6F">
        <w:rPr>
          <w:rFonts w:ascii="Arial" w:hAnsi="Arial" w:cs="Arial"/>
          <w:color w:val="000000"/>
          <w:sz w:val="20"/>
          <w:szCs w:val="20"/>
        </w:rPr>
        <w:br/>
      </w:r>
    </w:p>
  </w:footnote>
  <w:footnote w:id="72">
    <w:p w14:paraId="69DD058D" w14:textId="56778A65" w:rsidR="002956E1" w:rsidRPr="00BE5F6F" w:rsidRDefault="002956E1" w:rsidP="00BE5F6F">
      <w:pPr>
        <w:pStyle w:val="FootnoteText"/>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See Rule 17 of the Panel’s Rules of Procedure on Representation of the complainants. </w:t>
      </w:r>
    </w:p>
  </w:footnote>
  <w:footnote w:id="73">
    <w:p w14:paraId="0A41220B" w14:textId="229A3597" w:rsidR="002956E1" w:rsidRPr="00BE5F6F" w:rsidRDefault="002956E1" w:rsidP="00BE5F6F">
      <w:pPr>
        <w:pStyle w:val="FootnoteText"/>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See, in particular, Rules 24-25 of the Panel’s Rules of Procedure. Rule 26 requires that a complaint must set out the following: </w:t>
      </w:r>
    </w:p>
    <w:p w14:paraId="7FA817A9" w14:textId="77777777" w:rsidR="001F6921" w:rsidRPr="00BE5F6F" w:rsidRDefault="002956E1" w:rsidP="00BE5F6F">
      <w:pPr>
        <w:pStyle w:val="NormalWeb"/>
        <w:jc w:val="both"/>
        <w:rPr>
          <w:rFonts w:ascii="Arial" w:hAnsi="Arial" w:cs="Arial"/>
          <w:color w:val="000000"/>
          <w:sz w:val="20"/>
          <w:szCs w:val="20"/>
        </w:rPr>
      </w:pPr>
      <w:r w:rsidRPr="00BE5F6F">
        <w:rPr>
          <w:rFonts w:ascii="Arial" w:hAnsi="Arial" w:cs="Arial"/>
          <w:sz w:val="20"/>
          <w:szCs w:val="20"/>
        </w:rPr>
        <w:t>“</w:t>
      </w:r>
      <w:r w:rsidR="001F6921" w:rsidRPr="00BE5F6F">
        <w:rPr>
          <w:rFonts w:ascii="Arial" w:hAnsi="Arial" w:cs="Arial"/>
          <w:color w:val="000000"/>
          <w:sz w:val="20"/>
          <w:szCs w:val="20"/>
        </w:rPr>
        <w:t>1. A complaint must set out:</w:t>
      </w:r>
    </w:p>
    <w:p w14:paraId="6EA0A48E" w14:textId="77777777" w:rsidR="001F6921" w:rsidRPr="00BE5F6F" w:rsidRDefault="001F6921" w:rsidP="00BE5F6F">
      <w:pPr>
        <w:numPr>
          <w:ilvl w:val="0"/>
          <w:numId w:val="26"/>
        </w:numPr>
        <w:spacing w:before="100" w:beforeAutospacing="1" w:after="100" w:afterAutospacing="1"/>
        <w:jc w:val="both"/>
        <w:rPr>
          <w:rFonts w:ascii="Arial" w:hAnsi="Arial" w:cs="Arial"/>
          <w:color w:val="000000"/>
          <w:sz w:val="20"/>
          <w:szCs w:val="20"/>
        </w:rPr>
      </w:pPr>
      <w:r w:rsidRPr="00BE5F6F">
        <w:rPr>
          <w:rFonts w:ascii="Arial" w:hAnsi="Arial" w:cs="Arial"/>
          <w:color w:val="000000"/>
          <w:sz w:val="20"/>
          <w:szCs w:val="20"/>
        </w:rPr>
        <w:t>The identity of  the Complainant, including, as appropriate, the name, date of birth, occupation and the address of the person concerned;</w:t>
      </w:r>
    </w:p>
    <w:p w14:paraId="23D5C6A9" w14:textId="77777777" w:rsidR="001F6921" w:rsidRPr="00BE5F6F" w:rsidRDefault="001F6921" w:rsidP="00BE5F6F">
      <w:pPr>
        <w:numPr>
          <w:ilvl w:val="0"/>
          <w:numId w:val="26"/>
        </w:numPr>
        <w:spacing w:before="100" w:beforeAutospacing="1" w:after="100" w:afterAutospacing="1"/>
        <w:jc w:val="both"/>
        <w:rPr>
          <w:rFonts w:ascii="Arial" w:hAnsi="Arial" w:cs="Arial"/>
          <w:color w:val="000000"/>
          <w:sz w:val="20"/>
          <w:szCs w:val="20"/>
        </w:rPr>
      </w:pPr>
      <w:r w:rsidRPr="00BE5F6F">
        <w:rPr>
          <w:rFonts w:ascii="Arial" w:hAnsi="Arial" w:cs="Arial"/>
          <w:color w:val="000000"/>
          <w:sz w:val="20"/>
          <w:szCs w:val="20"/>
        </w:rPr>
        <w:t>The name, occupation and address of the representative, if any; </w:t>
      </w:r>
    </w:p>
    <w:p w14:paraId="5B330A99" w14:textId="77777777" w:rsidR="001F6921" w:rsidRPr="00BE5F6F" w:rsidRDefault="001F6921" w:rsidP="00BE5F6F">
      <w:pPr>
        <w:numPr>
          <w:ilvl w:val="0"/>
          <w:numId w:val="26"/>
        </w:numPr>
        <w:spacing w:before="100" w:beforeAutospacing="1" w:after="100" w:afterAutospacing="1"/>
        <w:jc w:val="both"/>
        <w:rPr>
          <w:rFonts w:ascii="Arial" w:hAnsi="Arial" w:cs="Arial"/>
          <w:color w:val="000000"/>
          <w:sz w:val="20"/>
          <w:szCs w:val="20"/>
        </w:rPr>
      </w:pPr>
      <w:r w:rsidRPr="00BE5F6F">
        <w:rPr>
          <w:rFonts w:ascii="Arial" w:hAnsi="Arial" w:cs="Arial"/>
          <w:color w:val="000000"/>
          <w:sz w:val="20"/>
          <w:szCs w:val="20"/>
        </w:rPr>
        <w:t>A statement of the relevant facts; and</w:t>
      </w:r>
    </w:p>
    <w:p w14:paraId="502A7B2E" w14:textId="77777777" w:rsidR="001F6921" w:rsidRPr="00BE5F6F" w:rsidRDefault="001F6921" w:rsidP="00BE5F6F">
      <w:pPr>
        <w:numPr>
          <w:ilvl w:val="0"/>
          <w:numId w:val="26"/>
        </w:numPr>
        <w:spacing w:before="100" w:beforeAutospacing="1" w:after="100" w:afterAutospacing="1"/>
        <w:jc w:val="both"/>
        <w:rPr>
          <w:rFonts w:ascii="Arial" w:hAnsi="Arial" w:cs="Arial"/>
          <w:color w:val="000000"/>
          <w:sz w:val="20"/>
          <w:szCs w:val="20"/>
        </w:rPr>
      </w:pPr>
      <w:r w:rsidRPr="00BE5F6F">
        <w:rPr>
          <w:rFonts w:ascii="Arial" w:hAnsi="Arial" w:cs="Arial"/>
          <w:color w:val="000000"/>
          <w:sz w:val="20"/>
          <w:szCs w:val="20"/>
        </w:rPr>
        <w:t>A succinct statement of the alleged violations of the relevant human rights instruments.</w:t>
      </w:r>
    </w:p>
    <w:p w14:paraId="08C46742" w14:textId="77777777" w:rsidR="001F6921" w:rsidRPr="00BE5F6F" w:rsidRDefault="001F6921" w:rsidP="00BE5F6F">
      <w:pPr>
        <w:pStyle w:val="NormalWeb"/>
        <w:jc w:val="both"/>
        <w:rPr>
          <w:rFonts w:ascii="Arial" w:hAnsi="Arial" w:cs="Arial"/>
          <w:color w:val="000000"/>
          <w:sz w:val="20"/>
          <w:szCs w:val="20"/>
        </w:rPr>
      </w:pPr>
      <w:r w:rsidRPr="00BE5F6F">
        <w:rPr>
          <w:rFonts w:ascii="Arial" w:hAnsi="Arial" w:cs="Arial"/>
          <w:color w:val="000000"/>
          <w:sz w:val="20"/>
          <w:szCs w:val="20"/>
        </w:rPr>
        <w:t>2. The Complainant must attach documentary evidence, if any, to support the complaint, in particular to show that the admissibility criteria have been satisfied.</w:t>
      </w:r>
    </w:p>
    <w:p w14:paraId="16BCF9A0" w14:textId="49C63665" w:rsidR="002956E1" w:rsidRPr="00BE5F6F" w:rsidRDefault="001F6921" w:rsidP="00BE5F6F">
      <w:pPr>
        <w:pStyle w:val="NormalWeb"/>
        <w:jc w:val="both"/>
        <w:rPr>
          <w:rFonts w:ascii="Arial" w:hAnsi="Arial" w:cs="Arial"/>
          <w:color w:val="000000"/>
          <w:sz w:val="20"/>
          <w:szCs w:val="20"/>
        </w:rPr>
      </w:pPr>
      <w:r w:rsidRPr="00BE5F6F">
        <w:rPr>
          <w:rFonts w:ascii="Arial" w:hAnsi="Arial" w:cs="Arial"/>
          <w:color w:val="000000"/>
          <w:sz w:val="20"/>
          <w:szCs w:val="20"/>
        </w:rPr>
        <w:t>3. The Complainant may use the standard complaint format available from the Panel.</w:t>
      </w:r>
      <w:r w:rsidR="002956E1" w:rsidRPr="00BE5F6F">
        <w:rPr>
          <w:rFonts w:ascii="Arial" w:hAnsi="Arial" w:cs="Arial"/>
          <w:sz w:val="20"/>
          <w:szCs w:val="20"/>
        </w:rPr>
        <w:t>”</w:t>
      </w:r>
    </w:p>
    <w:p w14:paraId="6AC1237F" w14:textId="5F7C17E6" w:rsidR="002956E1" w:rsidRPr="00BE5F6F" w:rsidRDefault="002956E1" w:rsidP="00BE5F6F">
      <w:pPr>
        <w:pStyle w:val="FootnoteText"/>
        <w:jc w:val="both"/>
        <w:rPr>
          <w:rFonts w:ascii="Arial" w:hAnsi="Arial" w:cs="Arial"/>
          <w:sz w:val="20"/>
          <w:szCs w:val="20"/>
        </w:rPr>
      </w:pPr>
      <w:r w:rsidRPr="00BE5F6F">
        <w:rPr>
          <w:rFonts w:ascii="Arial" w:hAnsi="Arial" w:cs="Arial"/>
          <w:sz w:val="20"/>
          <w:szCs w:val="20"/>
        </w:rPr>
        <w:t>Once filed with the Panel, and unless the complaint is unmeritorious on its face, it will be communicated to the Head of Mission pursuant to Rule 27. The Panel has exercised its discretion on a number of occasion, in accordance with Rule 29, to declare cases inadmissible without such communication where they evidently lacked merit or fell beyond the scope of its jurisdiction. Pursuant to Rule 29bis, the Panel also has the power to strike out a complaint, in particular where it is determined that a complainant does not intend to pursue his or her complain (par 1) or where for other reason, the Panel is no longer justified to continue the examination of the complaint (par 2).</w:t>
      </w:r>
    </w:p>
  </w:footnote>
  <w:footnote w:id="74">
    <w:p w14:paraId="3161EFE6" w14:textId="448A5339" w:rsidR="002956E1" w:rsidRPr="00BE5F6F" w:rsidRDefault="002956E1" w:rsidP="00BE5F6F">
      <w:pPr>
        <w:pStyle w:val="FootnoteText"/>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See Rule 29(a) of the Panel’s Rules of Procedure.</w:t>
      </w:r>
      <w:r w:rsidR="001F6921" w:rsidRPr="00BE5F6F">
        <w:rPr>
          <w:rFonts w:ascii="Arial" w:hAnsi="Arial" w:cs="Arial"/>
          <w:sz w:val="20"/>
          <w:szCs w:val="20"/>
        </w:rPr>
        <w:t xml:space="preserve"> This provision gives however some discretion to the Panel in relation to anonymous complaints. </w:t>
      </w:r>
    </w:p>
  </w:footnote>
  <w:footnote w:id="75">
    <w:p w14:paraId="152EDF83" w14:textId="2F637268" w:rsidR="002956E1" w:rsidRPr="00BE5F6F" w:rsidRDefault="002956E1" w:rsidP="00BE5F6F">
      <w:pPr>
        <w:pStyle w:val="FootnoteText"/>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w:t>
      </w:r>
      <w:r w:rsidR="00706235" w:rsidRPr="00BE5F6F">
        <w:rPr>
          <w:rFonts w:ascii="Arial" w:hAnsi="Arial" w:cs="Arial"/>
          <w:sz w:val="20"/>
          <w:szCs w:val="20"/>
        </w:rPr>
        <w:t xml:space="preserve">See, e.g., </w:t>
      </w:r>
      <w:r w:rsidR="00706235" w:rsidRPr="00BE5F6F">
        <w:rPr>
          <w:rFonts w:ascii="Arial" w:hAnsi="Arial" w:cs="Arial"/>
          <w:i/>
          <w:sz w:val="20"/>
          <w:szCs w:val="20"/>
        </w:rPr>
        <w:t>T.G. against EULEX</w:t>
      </w:r>
      <w:r w:rsidR="00706235" w:rsidRPr="00BE5F6F">
        <w:rPr>
          <w:rFonts w:ascii="Arial" w:hAnsi="Arial" w:cs="Arial"/>
          <w:sz w:val="20"/>
          <w:szCs w:val="20"/>
        </w:rPr>
        <w:t>, 17 October 2017, par 2 (“</w:t>
      </w:r>
      <w:r w:rsidR="00706235" w:rsidRPr="00BE5F6F">
        <w:rPr>
          <w:rFonts w:ascii="Arial" w:hAnsi="Arial" w:cs="Arial"/>
          <w:sz w:val="20"/>
          <w:szCs w:val="20"/>
        </w:rPr>
        <w:t>The Complainant requested that the Panel withhold the details of his identity for personal reasons and the Panel acceded to this request</w:t>
      </w:r>
      <w:r w:rsidR="00706235" w:rsidRPr="00BE5F6F">
        <w:rPr>
          <w:rFonts w:ascii="Arial" w:hAnsi="Arial" w:cs="Arial"/>
          <w:sz w:val="20"/>
          <w:szCs w:val="20"/>
        </w:rPr>
        <w:t>.”)</w:t>
      </w:r>
      <w:r w:rsidRPr="00BE5F6F">
        <w:rPr>
          <w:rFonts w:ascii="Arial" w:hAnsi="Arial" w:cs="Arial"/>
          <w:sz w:val="20"/>
          <w:szCs w:val="20"/>
        </w:rPr>
        <w:t>.</w:t>
      </w:r>
    </w:p>
  </w:footnote>
  <w:footnote w:id="76">
    <w:p w14:paraId="32334FF9" w14:textId="4A7CC863" w:rsidR="002956E1" w:rsidRPr="00BE5F6F" w:rsidRDefault="002956E1" w:rsidP="00BE5F6F">
      <w:pPr>
        <w:pStyle w:val="FootnoteText"/>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See, e.g., </w:t>
      </w:r>
      <w:r w:rsidRPr="00BE5F6F">
        <w:rPr>
          <w:rFonts w:ascii="Arial" w:hAnsi="Arial" w:cs="Arial"/>
          <w:i/>
          <w:sz w:val="20"/>
          <w:szCs w:val="20"/>
        </w:rPr>
        <w:t>W against EULEX</w:t>
      </w:r>
      <w:r w:rsidRPr="00BE5F6F">
        <w:rPr>
          <w:rFonts w:ascii="Arial" w:hAnsi="Arial" w:cs="Arial"/>
          <w:sz w:val="20"/>
          <w:szCs w:val="20"/>
        </w:rPr>
        <w:t xml:space="preserve">, Admissibility Decision, par 5. </w:t>
      </w:r>
    </w:p>
  </w:footnote>
  <w:footnote w:id="77">
    <w:p w14:paraId="70C6994F" w14:textId="5EE6EE47" w:rsidR="002956E1" w:rsidRPr="00BE5F6F" w:rsidRDefault="002956E1" w:rsidP="00BE5F6F">
      <w:pPr>
        <w:pStyle w:val="FootnoteText"/>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w:t>
      </w:r>
      <w:r w:rsidR="00706235" w:rsidRPr="00BE5F6F">
        <w:rPr>
          <w:rFonts w:ascii="Arial" w:hAnsi="Arial" w:cs="Arial"/>
          <w:sz w:val="20"/>
          <w:szCs w:val="20"/>
        </w:rPr>
        <w:t xml:space="preserve">See, e.g., </w:t>
      </w:r>
      <w:r w:rsidR="00706235" w:rsidRPr="00E87A72">
        <w:rPr>
          <w:rFonts w:ascii="Arial" w:hAnsi="Arial" w:cs="Arial"/>
          <w:i/>
          <w:sz w:val="20"/>
          <w:szCs w:val="20"/>
        </w:rPr>
        <w:t>K and others against EULEX</w:t>
      </w:r>
      <w:r w:rsidR="00706235" w:rsidRPr="00BE5F6F">
        <w:rPr>
          <w:rFonts w:ascii="Arial" w:hAnsi="Arial" w:cs="Arial"/>
          <w:sz w:val="20"/>
          <w:szCs w:val="20"/>
        </w:rPr>
        <w:t>, 21 April 2015, par 7</w:t>
      </w:r>
      <w:r w:rsidRPr="00BE5F6F">
        <w:rPr>
          <w:rFonts w:ascii="Arial" w:hAnsi="Arial" w:cs="Arial"/>
          <w:sz w:val="20"/>
          <w:szCs w:val="20"/>
        </w:rPr>
        <w:t>.</w:t>
      </w:r>
    </w:p>
  </w:footnote>
  <w:footnote w:id="78">
    <w:p w14:paraId="25F86C12" w14:textId="0B251399" w:rsidR="002956E1" w:rsidRPr="00BE5F6F" w:rsidRDefault="002956E1" w:rsidP="00BE5F6F">
      <w:pPr>
        <w:pStyle w:val="FootnoteText"/>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Rule 25(3) of the Panel’s Rules of Procedure. </w:t>
      </w:r>
    </w:p>
  </w:footnote>
  <w:footnote w:id="79">
    <w:p w14:paraId="1B70BD0B" w14:textId="678644D2" w:rsidR="002956E1" w:rsidRPr="00BE5F6F" w:rsidRDefault="002956E1" w:rsidP="00BE5F6F">
      <w:pPr>
        <w:pStyle w:val="FootnoteText"/>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w:t>
      </w:r>
      <w:r w:rsidR="00F15D6E" w:rsidRPr="00BE5F6F">
        <w:rPr>
          <w:rFonts w:ascii="Arial" w:hAnsi="Arial" w:cs="Arial"/>
          <w:sz w:val="20"/>
          <w:szCs w:val="20"/>
        </w:rPr>
        <w:t xml:space="preserve">See, e.g., </w:t>
      </w:r>
      <w:r w:rsidR="00F15D6E" w:rsidRPr="00720465">
        <w:rPr>
          <w:rFonts w:ascii="Arial" w:hAnsi="Arial" w:cs="Arial"/>
          <w:i/>
          <w:sz w:val="20"/>
          <w:szCs w:val="20"/>
        </w:rPr>
        <w:t>Mikic against EULEX</w:t>
      </w:r>
      <w:r w:rsidR="00F15D6E" w:rsidRPr="00BE5F6F">
        <w:rPr>
          <w:rFonts w:ascii="Arial" w:hAnsi="Arial" w:cs="Arial"/>
          <w:sz w:val="20"/>
          <w:szCs w:val="20"/>
        </w:rPr>
        <w:t xml:space="preserve">, 15 June 2015, pars 8-9; </w:t>
      </w:r>
      <w:r w:rsidR="00F15D6E" w:rsidRPr="00720465">
        <w:rPr>
          <w:rFonts w:ascii="Arial" w:hAnsi="Arial" w:cs="Arial"/>
          <w:i/>
          <w:sz w:val="20"/>
          <w:szCs w:val="20"/>
        </w:rPr>
        <w:t>K.P. against EULEX</w:t>
      </w:r>
      <w:r w:rsidR="00F15D6E" w:rsidRPr="00BE5F6F">
        <w:rPr>
          <w:rFonts w:ascii="Arial" w:hAnsi="Arial" w:cs="Arial"/>
          <w:sz w:val="20"/>
          <w:szCs w:val="20"/>
        </w:rPr>
        <w:t xml:space="preserve">, 21 April 2015, par 15; </w:t>
      </w:r>
      <w:r w:rsidR="00F15D6E" w:rsidRPr="00720465">
        <w:rPr>
          <w:rFonts w:ascii="Arial" w:hAnsi="Arial" w:cs="Arial"/>
          <w:i/>
          <w:sz w:val="20"/>
          <w:szCs w:val="20"/>
        </w:rPr>
        <w:t>Martinovic against EULEX</w:t>
      </w:r>
      <w:r w:rsidR="00F15D6E" w:rsidRPr="00BE5F6F">
        <w:rPr>
          <w:rFonts w:ascii="Arial" w:hAnsi="Arial" w:cs="Arial"/>
          <w:sz w:val="20"/>
          <w:szCs w:val="20"/>
        </w:rPr>
        <w:t>, 23 November 2011, pars 17-18.</w:t>
      </w:r>
    </w:p>
  </w:footnote>
  <w:footnote w:id="80">
    <w:p w14:paraId="681C074B" w14:textId="0EF49834" w:rsidR="00706235" w:rsidRPr="00BE5F6F" w:rsidRDefault="00706235" w:rsidP="00BE5F6F">
      <w:pPr>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See, e.g, </w:t>
      </w:r>
      <w:r w:rsidRPr="00720465">
        <w:rPr>
          <w:rFonts w:ascii="Arial" w:hAnsi="Arial" w:cs="Arial"/>
          <w:i/>
          <w:sz w:val="20"/>
          <w:szCs w:val="20"/>
        </w:rPr>
        <w:t>Sadiku-Syla against EULEX</w:t>
      </w:r>
      <w:r w:rsidRPr="00BE5F6F">
        <w:rPr>
          <w:rFonts w:ascii="Arial" w:hAnsi="Arial" w:cs="Arial"/>
          <w:sz w:val="20"/>
          <w:szCs w:val="20"/>
        </w:rPr>
        <w:t xml:space="preserve">, 29 September 2015, pars 44 </w:t>
      </w:r>
      <w:r w:rsidRPr="00BE5F6F">
        <w:rPr>
          <w:rFonts w:ascii="Arial" w:hAnsi="Arial" w:cs="Arial"/>
          <w:i/>
          <w:sz w:val="20"/>
          <w:szCs w:val="20"/>
        </w:rPr>
        <w:t>et seq</w:t>
      </w:r>
      <w:r w:rsidRPr="00BE5F6F">
        <w:rPr>
          <w:rFonts w:ascii="Arial" w:hAnsi="Arial" w:cs="Arial"/>
          <w:sz w:val="20"/>
          <w:szCs w:val="20"/>
        </w:rPr>
        <w:t>.</w:t>
      </w:r>
      <w:r w:rsidR="00F166CA" w:rsidRPr="00BE5F6F">
        <w:rPr>
          <w:rFonts w:ascii="Arial" w:hAnsi="Arial" w:cs="Arial"/>
          <w:sz w:val="20"/>
          <w:szCs w:val="20"/>
        </w:rPr>
        <w:t xml:space="preserve">; D.W. and others against EULEX, 30 September 2015, pars 91 </w:t>
      </w:r>
      <w:r w:rsidR="00F166CA" w:rsidRPr="00BE5F6F">
        <w:rPr>
          <w:rFonts w:ascii="Arial" w:hAnsi="Arial" w:cs="Arial"/>
          <w:i/>
          <w:sz w:val="20"/>
          <w:szCs w:val="20"/>
        </w:rPr>
        <w:t>et seq</w:t>
      </w:r>
      <w:r w:rsidR="00F166CA" w:rsidRPr="00BE5F6F">
        <w:rPr>
          <w:rFonts w:ascii="Arial" w:hAnsi="Arial" w:cs="Arial"/>
          <w:sz w:val="20"/>
          <w:szCs w:val="20"/>
        </w:rPr>
        <w:t>.</w:t>
      </w:r>
    </w:p>
  </w:footnote>
  <w:footnote w:id="81">
    <w:p w14:paraId="6652CBE1" w14:textId="5264658F" w:rsidR="00F166CA" w:rsidRPr="00BE5F6F" w:rsidRDefault="00F166CA" w:rsidP="00BE5F6F">
      <w:pPr>
        <w:pStyle w:val="FootnoteText"/>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See, e.g., </w:t>
      </w:r>
      <w:r w:rsidRPr="00720465">
        <w:rPr>
          <w:rFonts w:ascii="Arial" w:hAnsi="Arial" w:cs="Arial"/>
          <w:i/>
          <w:sz w:val="20"/>
          <w:szCs w:val="20"/>
        </w:rPr>
        <w:t>Zahiti against EULEX</w:t>
      </w:r>
      <w:r w:rsidRPr="00BE5F6F">
        <w:rPr>
          <w:rFonts w:ascii="Arial" w:hAnsi="Arial" w:cs="Arial"/>
          <w:sz w:val="20"/>
          <w:szCs w:val="20"/>
        </w:rPr>
        <w:t xml:space="preserve">, 7 June 2013, par 42. </w:t>
      </w:r>
    </w:p>
  </w:footnote>
  <w:footnote w:id="82">
    <w:p w14:paraId="30E3453F" w14:textId="69D83737" w:rsidR="00F166CA" w:rsidRPr="00BE5F6F" w:rsidRDefault="00F166CA" w:rsidP="00BE5F6F">
      <w:pPr>
        <w:pStyle w:val="FootnoteText"/>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See, e.g., </w:t>
      </w:r>
      <w:r w:rsidRPr="00720465">
        <w:rPr>
          <w:rFonts w:ascii="Arial" w:hAnsi="Arial" w:cs="Arial"/>
          <w:i/>
          <w:sz w:val="20"/>
          <w:szCs w:val="20"/>
        </w:rPr>
        <w:t>Y against EULEX</w:t>
      </w:r>
      <w:r w:rsidRPr="00BE5F6F">
        <w:rPr>
          <w:rFonts w:ascii="Arial" w:hAnsi="Arial" w:cs="Arial"/>
          <w:sz w:val="20"/>
          <w:szCs w:val="20"/>
        </w:rPr>
        <w:t>, 15 November 2012, pars 30-31.</w:t>
      </w:r>
    </w:p>
  </w:footnote>
  <w:footnote w:id="83">
    <w:p w14:paraId="71DB8D20" w14:textId="4DADD517" w:rsidR="00F166CA" w:rsidRPr="00BE5F6F" w:rsidRDefault="00F166CA" w:rsidP="00BE5F6F">
      <w:pPr>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See, e.g., </w:t>
      </w:r>
      <w:r w:rsidRPr="00BE5F6F">
        <w:rPr>
          <w:rFonts w:ascii="Arial" w:hAnsi="Arial" w:cs="Arial"/>
          <w:i/>
          <w:sz w:val="20"/>
          <w:szCs w:val="20"/>
        </w:rPr>
        <w:t>Qela against EULEX</w:t>
      </w:r>
      <w:r w:rsidRPr="00BE5F6F">
        <w:rPr>
          <w:rFonts w:ascii="Arial" w:hAnsi="Arial" w:cs="Arial"/>
          <w:sz w:val="20"/>
          <w:szCs w:val="20"/>
        </w:rPr>
        <w:t xml:space="preserve">, 17 October 2017, par 16; </w:t>
      </w:r>
      <w:r w:rsidRPr="00BE5F6F">
        <w:rPr>
          <w:rFonts w:ascii="Arial" w:hAnsi="Arial" w:cs="Arial"/>
          <w:i/>
          <w:sz w:val="20"/>
          <w:szCs w:val="20"/>
        </w:rPr>
        <w:t>K and others against EULEX</w:t>
      </w:r>
      <w:r w:rsidRPr="00BE5F6F">
        <w:rPr>
          <w:rFonts w:ascii="Arial" w:hAnsi="Arial" w:cs="Arial"/>
          <w:sz w:val="20"/>
          <w:szCs w:val="20"/>
        </w:rPr>
        <w:t xml:space="preserve">, </w:t>
      </w:r>
      <w:r w:rsidRPr="00BE5F6F">
        <w:rPr>
          <w:rFonts w:ascii="Arial" w:hAnsi="Arial" w:cs="Arial"/>
          <w:color w:val="000000"/>
          <w:sz w:val="20"/>
          <w:szCs w:val="20"/>
        </w:rPr>
        <w:t>21 April 2015, par. 47</w:t>
      </w:r>
      <w:r w:rsidRPr="00BE5F6F">
        <w:rPr>
          <w:rFonts w:ascii="Arial" w:hAnsi="Arial" w:cs="Arial"/>
          <w:color w:val="000000"/>
          <w:sz w:val="20"/>
          <w:szCs w:val="20"/>
        </w:rPr>
        <w:t xml:space="preserve">; </w:t>
      </w:r>
    </w:p>
  </w:footnote>
  <w:footnote w:id="84">
    <w:p w14:paraId="007470C7" w14:textId="3348E57A" w:rsidR="002956E1" w:rsidRPr="00BE5F6F" w:rsidRDefault="002956E1" w:rsidP="00BE5F6F">
      <w:pPr>
        <w:pStyle w:val="FootnoteText"/>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w:t>
      </w:r>
      <w:r w:rsidRPr="00BE5F6F">
        <w:rPr>
          <w:rFonts w:ascii="Arial" w:hAnsi="Arial" w:cs="Arial"/>
          <w:i/>
          <w:sz w:val="20"/>
          <w:szCs w:val="20"/>
        </w:rPr>
        <w:t>Milica Radunovic against EULEX</w:t>
      </w:r>
      <w:r w:rsidRPr="00BE5F6F">
        <w:rPr>
          <w:rFonts w:ascii="Arial" w:hAnsi="Arial" w:cs="Arial"/>
          <w:sz w:val="20"/>
          <w:szCs w:val="20"/>
        </w:rPr>
        <w:t xml:space="preserve">, Inadmissibility Decision, 12 November 2015, pars 20-22. See also </w:t>
      </w:r>
      <w:r w:rsidRPr="00BE5F6F">
        <w:rPr>
          <w:rFonts w:ascii="Arial" w:hAnsi="Arial" w:cs="Arial"/>
          <w:i/>
          <w:sz w:val="20"/>
          <w:szCs w:val="20"/>
        </w:rPr>
        <w:t>Mazlam Ibrahimi against EULEX</w:t>
      </w:r>
      <w:r w:rsidRPr="00BE5F6F">
        <w:rPr>
          <w:rFonts w:ascii="Arial" w:hAnsi="Arial" w:cs="Arial"/>
          <w:sz w:val="20"/>
          <w:szCs w:val="20"/>
        </w:rPr>
        <w:t xml:space="preserve">, Inadmissibility Decision, 21 April 2015, pars 28-29 (regarding pending proceedings and the payment of a fee and translation cost as alleged impediment to access to justice and to a remedy). </w:t>
      </w:r>
    </w:p>
  </w:footnote>
  <w:footnote w:id="85">
    <w:p w14:paraId="079A5694" w14:textId="0DF7CB7E" w:rsidR="002956E1" w:rsidRPr="00BE5F6F" w:rsidRDefault="002956E1" w:rsidP="00BE5F6F">
      <w:pPr>
        <w:pStyle w:val="FootnoteText"/>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w:t>
      </w:r>
      <w:r w:rsidR="006E472F" w:rsidRPr="00BE5F6F">
        <w:rPr>
          <w:rFonts w:ascii="Arial" w:hAnsi="Arial" w:cs="Arial"/>
          <w:sz w:val="20"/>
          <w:szCs w:val="20"/>
        </w:rPr>
        <w:t xml:space="preserve">See </w:t>
      </w:r>
      <w:r w:rsidR="006E472F" w:rsidRPr="00720465">
        <w:rPr>
          <w:rFonts w:ascii="Arial" w:hAnsi="Arial" w:cs="Arial"/>
          <w:i/>
          <w:sz w:val="20"/>
          <w:szCs w:val="20"/>
        </w:rPr>
        <w:t>F against EULEX</w:t>
      </w:r>
      <w:r w:rsidR="006E472F" w:rsidRPr="00BE5F6F">
        <w:rPr>
          <w:rFonts w:ascii="Arial" w:hAnsi="Arial" w:cs="Arial"/>
          <w:sz w:val="20"/>
          <w:szCs w:val="20"/>
        </w:rPr>
        <w:t xml:space="preserve">. </w:t>
      </w:r>
      <w:r w:rsidRPr="00BE5F6F">
        <w:rPr>
          <w:rFonts w:ascii="Arial" w:hAnsi="Arial" w:cs="Arial"/>
          <w:sz w:val="20"/>
          <w:szCs w:val="20"/>
        </w:rPr>
        <w:t xml:space="preserve"> </w:t>
      </w:r>
    </w:p>
  </w:footnote>
  <w:footnote w:id="86">
    <w:p w14:paraId="1F8DA47E" w14:textId="34CED2A8" w:rsidR="002956E1" w:rsidRPr="00BE5F6F" w:rsidRDefault="002956E1" w:rsidP="00BE5F6F">
      <w:pPr>
        <w:pStyle w:val="FootnoteText"/>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w:t>
      </w:r>
      <w:r w:rsidR="006E472F" w:rsidRPr="00BE5F6F">
        <w:rPr>
          <w:rFonts w:ascii="Arial" w:hAnsi="Arial" w:cs="Arial"/>
          <w:sz w:val="20"/>
          <w:szCs w:val="20"/>
        </w:rPr>
        <w:t xml:space="preserve">See, e.g., </w:t>
      </w:r>
      <w:r w:rsidR="006E472F" w:rsidRPr="00BE5F6F">
        <w:rPr>
          <w:rFonts w:ascii="Arial" w:hAnsi="Arial" w:cs="Arial"/>
          <w:i/>
          <w:sz w:val="20"/>
          <w:szCs w:val="20"/>
        </w:rPr>
        <w:t>F and others against EULEX</w:t>
      </w:r>
      <w:r w:rsidR="006E472F" w:rsidRPr="00BE5F6F">
        <w:rPr>
          <w:rFonts w:ascii="Arial" w:hAnsi="Arial" w:cs="Arial"/>
          <w:sz w:val="20"/>
          <w:szCs w:val="20"/>
        </w:rPr>
        <w:t>, 13 June 2017, par 7</w:t>
      </w:r>
      <w:r w:rsidRPr="00BE5F6F">
        <w:rPr>
          <w:rFonts w:ascii="Arial" w:hAnsi="Arial" w:cs="Arial"/>
          <w:sz w:val="20"/>
          <w:szCs w:val="20"/>
        </w:rPr>
        <w:t>.</w:t>
      </w:r>
    </w:p>
  </w:footnote>
  <w:footnote w:id="87">
    <w:p w14:paraId="66F73DB4" w14:textId="0EAD38CB" w:rsidR="002956E1" w:rsidRPr="00BE5F6F" w:rsidRDefault="002956E1" w:rsidP="00BE5F6F">
      <w:pPr>
        <w:pStyle w:val="FootnoteText"/>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See Rule 23 of the Panel’s Rules of Procedure. </w:t>
      </w:r>
    </w:p>
  </w:footnote>
  <w:footnote w:id="88">
    <w:p w14:paraId="35C5EE30" w14:textId="1343B353" w:rsidR="002956E1" w:rsidRPr="00BE5F6F" w:rsidRDefault="002956E1" w:rsidP="00BE5F6F">
      <w:pPr>
        <w:pStyle w:val="FootnoteText"/>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Regarding deliberations of the Panel, see Rule 13 of the Panel’s Rules of Procedure. See also Rule 14 on quorum. For the purpose of preparation of draft decisions, the Panel will designate a Rapporteur for each case, in accordance with Rule 28 of the Panel’s Rules of Procedure. </w:t>
      </w:r>
    </w:p>
  </w:footnote>
  <w:footnote w:id="89">
    <w:p w14:paraId="5992ECD4" w14:textId="2872DE8E" w:rsidR="006E472F" w:rsidRPr="00BE5F6F" w:rsidRDefault="006E472F" w:rsidP="00BE5F6F">
      <w:pPr>
        <w:pStyle w:val="FootnoteText"/>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See Rule 13(3) Rules of Procedure. </w:t>
      </w:r>
    </w:p>
  </w:footnote>
  <w:footnote w:id="90">
    <w:p w14:paraId="06BF6B3F" w14:textId="402F4FE3" w:rsidR="002956E1" w:rsidRPr="00BE5F6F" w:rsidRDefault="002956E1" w:rsidP="00BE5F6F">
      <w:pPr>
        <w:pStyle w:val="FootnoteText"/>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Rule 15 of the Panel’s Rules of Procedure. Abstentions is not allowed (ibid). </w:t>
      </w:r>
    </w:p>
  </w:footnote>
  <w:footnote w:id="91">
    <w:p w14:paraId="375A0DDE" w14:textId="5A7FB574" w:rsidR="002956E1" w:rsidRPr="00BE5F6F" w:rsidRDefault="002956E1" w:rsidP="00BE5F6F">
      <w:pPr>
        <w:pStyle w:val="FootnoteText"/>
        <w:jc w:val="both"/>
        <w:rPr>
          <w:rFonts w:ascii="Arial" w:hAnsi="Arial" w:cs="Arial"/>
          <w:sz w:val="20"/>
          <w:szCs w:val="20"/>
        </w:rPr>
      </w:pPr>
      <w:r w:rsidRPr="00BE5F6F">
        <w:rPr>
          <w:rStyle w:val="FootnoteReference"/>
          <w:rFonts w:ascii="Arial" w:hAnsi="Arial" w:cs="Arial"/>
          <w:sz w:val="20"/>
          <w:szCs w:val="20"/>
        </w:rPr>
        <w:footnoteRef/>
      </w:r>
      <w:r w:rsidRPr="00BE5F6F">
        <w:rPr>
          <w:rFonts w:ascii="Arial" w:hAnsi="Arial" w:cs="Arial"/>
          <w:sz w:val="20"/>
          <w:szCs w:val="20"/>
        </w:rPr>
        <w:t xml:space="preserve"> Additional evidence could also possibly be tendered at that point in accordance with Rules 36 and 37.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31C3E"/>
    <w:multiLevelType w:val="hybridMultilevel"/>
    <w:tmpl w:val="119857D0"/>
    <w:lvl w:ilvl="0" w:tplc="814E0660">
      <w:start w:val="1"/>
      <w:numFmt w:val="bullet"/>
      <w:lvlText w:val="-"/>
      <w:lvlJc w:val="left"/>
      <w:pPr>
        <w:tabs>
          <w:tab w:val="num" w:pos="1083"/>
        </w:tabs>
        <w:ind w:left="1083" w:hanging="363"/>
      </w:pPr>
      <w:rPr>
        <w:rFonts w:ascii="Times New Roman" w:eastAsia="Times New Roman" w:hAnsi="Times New Roman" w:cs="Times New Roman" w:hint="default"/>
      </w:rPr>
    </w:lvl>
    <w:lvl w:ilvl="1" w:tplc="04090003" w:tentative="1">
      <w:start w:val="1"/>
      <w:numFmt w:val="bullet"/>
      <w:lvlText w:val="o"/>
      <w:lvlJc w:val="left"/>
      <w:pPr>
        <w:tabs>
          <w:tab w:val="num" w:pos="1803"/>
        </w:tabs>
        <w:ind w:left="1803" w:hanging="360"/>
      </w:pPr>
      <w:rPr>
        <w:rFonts w:ascii="Courier New" w:hAnsi="Courier New" w:cs="Arial" w:hint="default"/>
      </w:rPr>
    </w:lvl>
    <w:lvl w:ilvl="2" w:tplc="04090005" w:tentative="1">
      <w:start w:val="1"/>
      <w:numFmt w:val="bullet"/>
      <w:lvlText w:val=""/>
      <w:lvlJc w:val="left"/>
      <w:pPr>
        <w:tabs>
          <w:tab w:val="num" w:pos="2523"/>
        </w:tabs>
        <w:ind w:left="2523" w:hanging="360"/>
      </w:pPr>
      <w:rPr>
        <w:rFonts w:ascii="Wingdings" w:hAnsi="Wingdings" w:hint="default"/>
      </w:rPr>
    </w:lvl>
    <w:lvl w:ilvl="3" w:tplc="04090001" w:tentative="1">
      <w:start w:val="1"/>
      <w:numFmt w:val="bullet"/>
      <w:lvlText w:val=""/>
      <w:lvlJc w:val="left"/>
      <w:pPr>
        <w:tabs>
          <w:tab w:val="num" w:pos="3243"/>
        </w:tabs>
        <w:ind w:left="3243" w:hanging="360"/>
      </w:pPr>
      <w:rPr>
        <w:rFonts w:ascii="Symbol" w:hAnsi="Symbol" w:hint="default"/>
      </w:rPr>
    </w:lvl>
    <w:lvl w:ilvl="4" w:tplc="04090003" w:tentative="1">
      <w:start w:val="1"/>
      <w:numFmt w:val="bullet"/>
      <w:lvlText w:val="o"/>
      <w:lvlJc w:val="left"/>
      <w:pPr>
        <w:tabs>
          <w:tab w:val="num" w:pos="3963"/>
        </w:tabs>
        <w:ind w:left="3963" w:hanging="360"/>
      </w:pPr>
      <w:rPr>
        <w:rFonts w:ascii="Courier New" w:hAnsi="Courier New" w:cs="Arial" w:hint="default"/>
      </w:rPr>
    </w:lvl>
    <w:lvl w:ilvl="5" w:tplc="04090005" w:tentative="1">
      <w:start w:val="1"/>
      <w:numFmt w:val="bullet"/>
      <w:lvlText w:val=""/>
      <w:lvlJc w:val="left"/>
      <w:pPr>
        <w:tabs>
          <w:tab w:val="num" w:pos="4683"/>
        </w:tabs>
        <w:ind w:left="4683" w:hanging="360"/>
      </w:pPr>
      <w:rPr>
        <w:rFonts w:ascii="Wingdings" w:hAnsi="Wingdings" w:hint="default"/>
      </w:rPr>
    </w:lvl>
    <w:lvl w:ilvl="6" w:tplc="04090001" w:tentative="1">
      <w:start w:val="1"/>
      <w:numFmt w:val="bullet"/>
      <w:lvlText w:val=""/>
      <w:lvlJc w:val="left"/>
      <w:pPr>
        <w:tabs>
          <w:tab w:val="num" w:pos="5403"/>
        </w:tabs>
        <w:ind w:left="5403" w:hanging="360"/>
      </w:pPr>
      <w:rPr>
        <w:rFonts w:ascii="Symbol" w:hAnsi="Symbol" w:hint="default"/>
      </w:rPr>
    </w:lvl>
    <w:lvl w:ilvl="7" w:tplc="04090003" w:tentative="1">
      <w:start w:val="1"/>
      <w:numFmt w:val="bullet"/>
      <w:lvlText w:val="o"/>
      <w:lvlJc w:val="left"/>
      <w:pPr>
        <w:tabs>
          <w:tab w:val="num" w:pos="6123"/>
        </w:tabs>
        <w:ind w:left="6123" w:hanging="360"/>
      </w:pPr>
      <w:rPr>
        <w:rFonts w:ascii="Courier New" w:hAnsi="Courier New" w:cs="Arial" w:hint="default"/>
      </w:rPr>
    </w:lvl>
    <w:lvl w:ilvl="8" w:tplc="04090005" w:tentative="1">
      <w:start w:val="1"/>
      <w:numFmt w:val="bullet"/>
      <w:lvlText w:val=""/>
      <w:lvlJc w:val="left"/>
      <w:pPr>
        <w:tabs>
          <w:tab w:val="num" w:pos="6843"/>
        </w:tabs>
        <w:ind w:left="6843" w:hanging="360"/>
      </w:pPr>
      <w:rPr>
        <w:rFonts w:ascii="Wingdings" w:hAnsi="Wingdings" w:hint="default"/>
      </w:rPr>
    </w:lvl>
  </w:abstractNum>
  <w:abstractNum w:abstractNumId="1" w15:restartNumberingAfterBreak="0">
    <w:nsid w:val="04B3046D"/>
    <w:multiLevelType w:val="multilevel"/>
    <w:tmpl w:val="F3080618"/>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A3708CF"/>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106D4B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6F1FE0"/>
    <w:multiLevelType w:val="multilevel"/>
    <w:tmpl w:val="1892FF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CC1ABD"/>
    <w:multiLevelType w:val="hybridMultilevel"/>
    <w:tmpl w:val="B5CE106C"/>
    <w:lvl w:ilvl="0" w:tplc="25A44636">
      <w:start w:val="1"/>
      <w:numFmt w:val="decimal"/>
      <w:lvlText w:val="%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1607F3"/>
    <w:multiLevelType w:val="hybridMultilevel"/>
    <w:tmpl w:val="06FEC0C8"/>
    <w:lvl w:ilvl="0" w:tplc="25A44636">
      <w:start w:val="1"/>
      <w:numFmt w:val="decimal"/>
      <w:lvlText w:val="%1."/>
      <w:lvlJc w:val="left"/>
      <w:pPr>
        <w:tabs>
          <w:tab w:val="num" w:pos="720"/>
        </w:tabs>
        <w:ind w:left="720" w:hanging="72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6465E72"/>
    <w:multiLevelType w:val="multilevel"/>
    <w:tmpl w:val="F75E99D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C251960"/>
    <w:multiLevelType w:val="multilevel"/>
    <w:tmpl w:val="BEE29578"/>
    <w:styleLink w:val="WWNum1"/>
    <w:lvl w:ilvl="0">
      <w:start w:val="1"/>
      <w:numFmt w:val="decimal"/>
      <w:lvlText w:val="%1."/>
      <w:lvlJc w:val="left"/>
      <w:rPr>
        <w:b w:val="0"/>
      </w:rPr>
    </w:lvl>
    <w:lvl w:ilvl="1">
      <w:numFmt w:val="bullet"/>
      <w:lvlText w:val="-"/>
      <w:lvlJc w:val="left"/>
      <w:rPr>
        <w:rFonts w:ascii="Times New Roman" w:eastAsia="Times New Roman" w:hAnsi="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 w15:restartNumberingAfterBreak="0">
    <w:nsid w:val="3E114909"/>
    <w:multiLevelType w:val="hybridMultilevel"/>
    <w:tmpl w:val="DCEE466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A52C5C"/>
    <w:multiLevelType w:val="multilevel"/>
    <w:tmpl w:val="E4A65FD4"/>
    <w:lvl w:ilvl="0">
      <w:start w:val="3"/>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1" w15:restartNumberingAfterBreak="0">
    <w:nsid w:val="42881E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AF66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42C08F9"/>
    <w:multiLevelType w:val="multilevel"/>
    <w:tmpl w:val="E3D05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E3257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D8442F"/>
    <w:multiLevelType w:val="multilevel"/>
    <w:tmpl w:val="FE2474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4947D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4B43737"/>
    <w:multiLevelType w:val="hybridMultilevel"/>
    <w:tmpl w:val="14FA1A96"/>
    <w:lvl w:ilvl="0" w:tplc="F8A6B722">
      <w:start w:val="1"/>
      <w:numFmt w:val="decimal"/>
      <w:lvlText w:val="%1."/>
      <w:lvlJc w:val="left"/>
      <w:pPr>
        <w:tabs>
          <w:tab w:val="num" w:pos="720"/>
        </w:tabs>
        <w:ind w:left="720" w:hanging="720"/>
      </w:pPr>
      <w:rPr>
        <w:rFonts w:cs="Times New Roman"/>
        <w:b w:val="0"/>
        <w:i w:val="0"/>
      </w:rPr>
    </w:lvl>
    <w:lvl w:ilvl="1" w:tplc="0409000F">
      <w:start w:val="1"/>
      <w:numFmt w:val="decimal"/>
      <w:lvlText w:val="%2."/>
      <w:lvlJc w:val="left"/>
      <w:pPr>
        <w:ind w:left="1080" w:hanging="360"/>
      </w:pPr>
    </w:lvl>
    <w:lvl w:ilvl="2" w:tplc="EBB2C058">
      <w:start w:val="1"/>
      <w:numFmt w:val="lowerRoman"/>
      <w:lvlText w:val="%3."/>
      <w:lvlJc w:val="left"/>
      <w:pPr>
        <w:tabs>
          <w:tab w:val="num" w:pos="2340"/>
        </w:tabs>
        <w:ind w:left="2340" w:hanging="720"/>
      </w:pPr>
      <w:rPr>
        <w:rFonts w:hint="default"/>
      </w:rPr>
    </w:lvl>
    <w:lvl w:ilvl="3" w:tplc="0409000F">
      <w:start w:val="1"/>
      <w:numFmt w:val="decimal"/>
      <w:lvlText w:val="%4."/>
      <w:lvlJc w:val="left"/>
      <w:pPr>
        <w:tabs>
          <w:tab w:val="num" w:pos="2520"/>
        </w:tabs>
        <w:ind w:left="2520" w:hanging="360"/>
      </w:pPr>
      <w:rPr>
        <w:b w:val="0"/>
        <w:i w:val="0"/>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5B6445C0"/>
    <w:multiLevelType w:val="multilevel"/>
    <w:tmpl w:val="2BB079E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7DC37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0151E0A"/>
    <w:multiLevelType w:val="multilevel"/>
    <w:tmpl w:val="80ACAB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BCE5701"/>
    <w:multiLevelType w:val="multilevel"/>
    <w:tmpl w:val="2BB079E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C4E21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C534B34"/>
    <w:multiLevelType w:val="multilevel"/>
    <w:tmpl w:val="77E89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7"/>
  </w:num>
  <w:num w:numId="3">
    <w:abstractNumId w:val="0"/>
  </w:num>
  <w:num w:numId="4">
    <w:abstractNumId w:val="5"/>
  </w:num>
  <w:num w:numId="5">
    <w:abstractNumId w:val="16"/>
  </w:num>
  <w:num w:numId="6">
    <w:abstractNumId w:val="14"/>
  </w:num>
  <w:num w:numId="7">
    <w:abstractNumId w:val="11"/>
  </w:num>
  <w:num w:numId="8">
    <w:abstractNumId w:val="23"/>
  </w:num>
  <w:num w:numId="9">
    <w:abstractNumId w:val="12"/>
  </w:num>
  <w:num w:numId="10">
    <w:abstractNumId w:val="19"/>
  </w:num>
  <w:num w:numId="11">
    <w:abstractNumId w:val="8"/>
    <w:lvlOverride w:ilvl="0">
      <w:lvl w:ilvl="0">
        <w:start w:val="1"/>
        <w:numFmt w:val="decimal"/>
        <w:lvlText w:val="%1."/>
        <w:lvlJc w:val="left"/>
        <w:rPr>
          <w:rFonts w:ascii="Arial" w:hAnsi="Arial" w:cs="Arial" w:hint="default"/>
          <w:b w:val="0"/>
          <w:sz w:val="22"/>
          <w:szCs w:val="22"/>
        </w:rPr>
      </w:lvl>
    </w:lvlOverride>
  </w:num>
  <w:num w:numId="12">
    <w:abstractNumId w:val="8"/>
    <w:lvlOverride w:ilvl="0">
      <w:lvl w:ilvl="0">
        <w:start w:val="1"/>
        <w:numFmt w:val="decimal"/>
        <w:lvlText w:val="%1."/>
        <w:lvlJc w:val="left"/>
        <w:rPr>
          <w:b w:val="0"/>
        </w:rPr>
      </w:lvl>
    </w:lvlOverride>
    <w:lvlOverride w:ilvl="1">
      <w:lvl w:ilvl="1">
        <w:numFmt w:val="bullet"/>
        <w:lvlText w:val="-"/>
        <w:lvlJc w:val="left"/>
        <w:rPr>
          <w:rFonts w:ascii="Times New Roman" w:eastAsia="Times New Roman" w:hAnsi="Times New Roman"/>
        </w:rPr>
      </w:lvl>
    </w:lvlOverride>
    <w:lvlOverride w:ilvl="2">
      <w:lvl w:ilvl="2">
        <w:start w:val="1"/>
        <w:numFmt w:val="lowerRoman"/>
        <w:lvlText w:val="%1.%2.%3."/>
        <w:lvlJc w:val="right"/>
        <w:rPr>
          <w:rFonts w:cs="Times New Roman"/>
        </w:rPr>
      </w:lvl>
    </w:lvlOverride>
    <w:lvlOverride w:ilvl="3">
      <w:lvl w:ilvl="3">
        <w:start w:val="1"/>
        <w:numFmt w:val="decimal"/>
        <w:lvlText w:val="%1.%2.%3.%4."/>
        <w:lvlJc w:val="left"/>
        <w:rPr>
          <w:rFonts w:cs="Times New Roman"/>
        </w:rPr>
      </w:lvl>
    </w:lvlOverride>
    <w:lvlOverride w:ilvl="4">
      <w:lvl w:ilvl="4">
        <w:start w:val="1"/>
        <w:numFmt w:val="lowerLetter"/>
        <w:lvlText w:val="%1.%2.%3.%4.%5."/>
        <w:lvlJc w:val="left"/>
        <w:rPr>
          <w:rFonts w:cs="Times New Roman"/>
        </w:rPr>
      </w:lvl>
    </w:lvlOverride>
    <w:lvlOverride w:ilvl="5">
      <w:lvl w:ilvl="5">
        <w:start w:val="1"/>
        <w:numFmt w:val="lowerRoman"/>
        <w:lvlText w:val="%1.%2.%3.%4.%5.%6."/>
        <w:lvlJc w:val="right"/>
        <w:rPr>
          <w:rFonts w:cs="Times New Roman"/>
        </w:rPr>
      </w:lvl>
    </w:lvlOverride>
    <w:lvlOverride w:ilvl="6">
      <w:lvl w:ilvl="6">
        <w:start w:val="1"/>
        <w:numFmt w:val="decimal"/>
        <w:lvlText w:val="%1.%2.%3.%4.%5.%6.%7."/>
        <w:lvlJc w:val="left"/>
        <w:rPr>
          <w:rFonts w:cs="Times New Roman"/>
        </w:rPr>
      </w:lvl>
    </w:lvlOverride>
    <w:lvlOverride w:ilvl="7">
      <w:lvl w:ilvl="7">
        <w:start w:val="1"/>
        <w:numFmt w:val="lowerLetter"/>
        <w:lvlText w:val="%1.%2.%3.%4.%5.%6.%7.%8."/>
        <w:lvlJc w:val="left"/>
        <w:rPr>
          <w:rFonts w:cs="Times New Roman"/>
        </w:rPr>
      </w:lvl>
    </w:lvlOverride>
    <w:lvlOverride w:ilvl="8">
      <w:lvl w:ilvl="8">
        <w:start w:val="1"/>
        <w:numFmt w:val="lowerRoman"/>
        <w:lvlText w:val="%1.%2.%3.%4.%5.%6.%7.%8.%9."/>
        <w:lvlJc w:val="right"/>
        <w:rPr>
          <w:rFonts w:cs="Times New Roman"/>
        </w:rPr>
      </w:lvl>
    </w:lvlOverride>
  </w:num>
  <w:num w:numId="13">
    <w:abstractNumId w:val="2"/>
  </w:num>
  <w:num w:numId="14">
    <w:abstractNumId w:val="3"/>
  </w:num>
  <w:num w:numId="15">
    <w:abstractNumId w:val="22"/>
  </w:num>
  <w:num w:numId="16">
    <w:abstractNumId w:val="4"/>
  </w:num>
  <w:num w:numId="17">
    <w:abstractNumId w:val="20"/>
  </w:num>
  <w:num w:numId="18">
    <w:abstractNumId w:val="9"/>
  </w:num>
  <w:num w:numId="19">
    <w:abstractNumId w:val="18"/>
  </w:num>
  <w:num w:numId="20">
    <w:abstractNumId w:val="10"/>
  </w:num>
  <w:num w:numId="21">
    <w:abstractNumId w:val="7"/>
  </w:num>
  <w:num w:numId="22">
    <w:abstractNumId w:val="15"/>
  </w:num>
  <w:num w:numId="23">
    <w:abstractNumId w:val="21"/>
  </w:num>
  <w:num w:numId="24">
    <w:abstractNumId w:val="1"/>
  </w:num>
  <w:num w:numId="25">
    <w:abstractNumId w:val="6"/>
  </w:num>
  <w:num w:numId="26">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BB0"/>
    <w:rsid w:val="000031E1"/>
    <w:rsid w:val="00003923"/>
    <w:rsid w:val="00006643"/>
    <w:rsid w:val="00006DA6"/>
    <w:rsid w:val="000121A7"/>
    <w:rsid w:val="00012A5E"/>
    <w:rsid w:val="000135BE"/>
    <w:rsid w:val="000136F8"/>
    <w:rsid w:val="00014058"/>
    <w:rsid w:val="000253DF"/>
    <w:rsid w:val="00031F44"/>
    <w:rsid w:val="0003424C"/>
    <w:rsid w:val="00035901"/>
    <w:rsid w:val="0004077D"/>
    <w:rsid w:val="0004457D"/>
    <w:rsid w:val="00046627"/>
    <w:rsid w:val="00050789"/>
    <w:rsid w:val="000536F2"/>
    <w:rsid w:val="000549C0"/>
    <w:rsid w:val="000562AC"/>
    <w:rsid w:val="0005661D"/>
    <w:rsid w:val="00064221"/>
    <w:rsid w:val="00075D20"/>
    <w:rsid w:val="00076909"/>
    <w:rsid w:val="0008194B"/>
    <w:rsid w:val="00083B7B"/>
    <w:rsid w:val="00083CA9"/>
    <w:rsid w:val="000840CF"/>
    <w:rsid w:val="00086531"/>
    <w:rsid w:val="000B4348"/>
    <w:rsid w:val="000B55C3"/>
    <w:rsid w:val="000C0C60"/>
    <w:rsid w:val="000E144C"/>
    <w:rsid w:val="000E21D8"/>
    <w:rsid w:val="000E2E82"/>
    <w:rsid w:val="000F25B2"/>
    <w:rsid w:val="000F7F07"/>
    <w:rsid w:val="00101E00"/>
    <w:rsid w:val="00102160"/>
    <w:rsid w:val="001052EA"/>
    <w:rsid w:val="00105F3C"/>
    <w:rsid w:val="00106A04"/>
    <w:rsid w:val="00110AD0"/>
    <w:rsid w:val="00114E71"/>
    <w:rsid w:val="0011722F"/>
    <w:rsid w:val="00117280"/>
    <w:rsid w:val="001225DA"/>
    <w:rsid w:val="00131881"/>
    <w:rsid w:val="0013281C"/>
    <w:rsid w:val="00133BC9"/>
    <w:rsid w:val="00144E57"/>
    <w:rsid w:val="00145A19"/>
    <w:rsid w:val="00151192"/>
    <w:rsid w:val="00154B37"/>
    <w:rsid w:val="00161EE6"/>
    <w:rsid w:val="0016282E"/>
    <w:rsid w:val="00165ABC"/>
    <w:rsid w:val="00166ADC"/>
    <w:rsid w:val="0017408F"/>
    <w:rsid w:val="00175315"/>
    <w:rsid w:val="001753AA"/>
    <w:rsid w:val="001A2571"/>
    <w:rsid w:val="001B5EFC"/>
    <w:rsid w:val="001C2351"/>
    <w:rsid w:val="001C3D4E"/>
    <w:rsid w:val="001C3F43"/>
    <w:rsid w:val="001D55AE"/>
    <w:rsid w:val="001D5FD7"/>
    <w:rsid w:val="001E14E3"/>
    <w:rsid w:val="001E7AE7"/>
    <w:rsid w:val="001F4AE2"/>
    <w:rsid w:val="001F566D"/>
    <w:rsid w:val="001F6921"/>
    <w:rsid w:val="001F7EB8"/>
    <w:rsid w:val="002014AA"/>
    <w:rsid w:val="002015B8"/>
    <w:rsid w:val="00207FED"/>
    <w:rsid w:val="00212262"/>
    <w:rsid w:val="00213177"/>
    <w:rsid w:val="00213193"/>
    <w:rsid w:val="00214796"/>
    <w:rsid w:val="00223C31"/>
    <w:rsid w:val="00231CBF"/>
    <w:rsid w:val="002323A2"/>
    <w:rsid w:val="00234E4C"/>
    <w:rsid w:val="00236DFB"/>
    <w:rsid w:val="00244569"/>
    <w:rsid w:val="00253985"/>
    <w:rsid w:val="00253E4A"/>
    <w:rsid w:val="00255A4C"/>
    <w:rsid w:val="00256337"/>
    <w:rsid w:val="00257576"/>
    <w:rsid w:val="0026159C"/>
    <w:rsid w:val="00265D5D"/>
    <w:rsid w:val="002704D2"/>
    <w:rsid w:val="002738FA"/>
    <w:rsid w:val="00285F14"/>
    <w:rsid w:val="00292BB8"/>
    <w:rsid w:val="0029409A"/>
    <w:rsid w:val="00295192"/>
    <w:rsid w:val="002956E1"/>
    <w:rsid w:val="002A017E"/>
    <w:rsid w:val="002A19F5"/>
    <w:rsid w:val="002A1B6A"/>
    <w:rsid w:val="002A1E2A"/>
    <w:rsid w:val="002A43AE"/>
    <w:rsid w:val="002A57D4"/>
    <w:rsid w:val="002A6BE4"/>
    <w:rsid w:val="002B74CB"/>
    <w:rsid w:val="002B7AF0"/>
    <w:rsid w:val="002C133F"/>
    <w:rsid w:val="002C464F"/>
    <w:rsid w:val="002C7ACC"/>
    <w:rsid w:val="002D06B5"/>
    <w:rsid w:val="002D59A8"/>
    <w:rsid w:val="002E0FAD"/>
    <w:rsid w:val="002E2221"/>
    <w:rsid w:val="002E7169"/>
    <w:rsid w:val="002E7668"/>
    <w:rsid w:val="002E7D3B"/>
    <w:rsid w:val="002F5FB6"/>
    <w:rsid w:val="00313945"/>
    <w:rsid w:val="0032060B"/>
    <w:rsid w:val="003233C5"/>
    <w:rsid w:val="00324CF0"/>
    <w:rsid w:val="00324EBF"/>
    <w:rsid w:val="003272D8"/>
    <w:rsid w:val="00332DF5"/>
    <w:rsid w:val="003415A8"/>
    <w:rsid w:val="00344C99"/>
    <w:rsid w:val="00347159"/>
    <w:rsid w:val="003508AF"/>
    <w:rsid w:val="00355FB6"/>
    <w:rsid w:val="00360DB8"/>
    <w:rsid w:val="00364028"/>
    <w:rsid w:val="00364A37"/>
    <w:rsid w:val="003749A4"/>
    <w:rsid w:val="00376C02"/>
    <w:rsid w:val="0038180B"/>
    <w:rsid w:val="0038288C"/>
    <w:rsid w:val="00385157"/>
    <w:rsid w:val="00387448"/>
    <w:rsid w:val="00392F0A"/>
    <w:rsid w:val="00393192"/>
    <w:rsid w:val="003933C5"/>
    <w:rsid w:val="003943B6"/>
    <w:rsid w:val="00394DB8"/>
    <w:rsid w:val="003954A5"/>
    <w:rsid w:val="003A06C9"/>
    <w:rsid w:val="003B6354"/>
    <w:rsid w:val="003B7C06"/>
    <w:rsid w:val="003C2036"/>
    <w:rsid w:val="003C4C65"/>
    <w:rsid w:val="003C61E5"/>
    <w:rsid w:val="003C7D3F"/>
    <w:rsid w:val="003D0D0D"/>
    <w:rsid w:val="003D2EA9"/>
    <w:rsid w:val="003E5F56"/>
    <w:rsid w:val="003E6133"/>
    <w:rsid w:val="003F652A"/>
    <w:rsid w:val="003F68A4"/>
    <w:rsid w:val="003F7550"/>
    <w:rsid w:val="00404DD5"/>
    <w:rsid w:val="004058FE"/>
    <w:rsid w:val="00405CA3"/>
    <w:rsid w:val="00412C92"/>
    <w:rsid w:val="0041415D"/>
    <w:rsid w:val="004144E2"/>
    <w:rsid w:val="004176F6"/>
    <w:rsid w:val="004268C3"/>
    <w:rsid w:val="0043409D"/>
    <w:rsid w:val="00434705"/>
    <w:rsid w:val="004360FF"/>
    <w:rsid w:val="004364FB"/>
    <w:rsid w:val="00436F19"/>
    <w:rsid w:val="004428E0"/>
    <w:rsid w:val="004439A6"/>
    <w:rsid w:val="00447C43"/>
    <w:rsid w:val="004539AB"/>
    <w:rsid w:val="004541ED"/>
    <w:rsid w:val="00454A46"/>
    <w:rsid w:val="00460AB8"/>
    <w:rsid w:val="00467606"/>
    <w:rsid w:val="00472143"/>
    <w:rsid w:val="00485013"/>
    <w:rsid w:val="00485914"/>
    <w:rsid w:val="00485D7B"/>
    <w:rsid w:val="004906BD"/>
    <w:rsid w:val="00491A20"/>
    <w:rsid w:val="00496C3D"/>
    <w:rsid w:val="004A1435"/>
    <w:rsid w:val="004A6013"/>
    <w:rsid w:val="004B09A3"/>
    <w:rsid w:val="004C1080"/>
    <w:rsid w:val="004C114F"/>
    <w:rsid w:val="004C4E89"/>
    <w:rsid w:val="004D43CA"/>
    <w:rsid w:val="004E4C3A"/>
    <w:rsid w:val="004E5AE7"/>
    <w:rsid w:val="004E6387"/>
    <w:rsid w:val="004E6A35"/>
    <w:rsid w:val="004F166D"/>
    <w:rsid w:val="004F6ED1"/>
    <w:rsid w:val="004F7C1D"/>
    <w:rsid w:val="00503054"/>
    <w:rsid w:val="005064B4"/>
    <w:rsid w:val="0051067C"/>
    <w:rsid w:val="00512581"/>
    <w:rsid w:val="00523031"/>
    <w:rsid w:val="00524985"/>
    <w:rsid w:val="005317AC"/>
    <w:rsid w:val="0055374A"/>
    <w:rsid w:val="005547C0"/>
    <w:rsid w:val="00557CE6"/>
    <w:rsid w:val="0056252A"/>
    <w:rsid w:val="0057087C"/>
    <w:rsid w:val="0058462B"/>
    <w:rsid w:val="00584ACC"/>
    <w:rsid w:val="00584B31"/>
    <w:rsid w:val="00585DE4"/>
    <w:rsid w:val="00590FCE"/>
    <w:rsid w:val="00596F06"/>
    <w:rsid w:val="005A0A09"/>
    <w:rsid w:val="005A2758"/>
    <w:rsid w:val="005B1267"/>
    <w:rsid w:val="005B4881"/>
    <w:rsid w:val="005B5061"/>
    <w:rsid w:val="005B62F7"/>
    <w:rsid w:val="005B7E0D"/>
    <w:rsid w:val="005B7FD2"/>
    <w:rsid w:val="005C25B7"/>
    <w:rsid w:val="005C334A"/>
    <w:rsid w:val="005D2E56"/>
    <w:rsid w:val="005D6CC8"/>
    <w:rsid w:val="005D721A"/>
    <w:rsid w:val="005E00AF"/>
    <w:rsid w:val="005E0124"/>
    <w:rsid w:val="005E1132"/>
    <w:rsid w:val="005E1888"/>
    <w:rsid w:val="005E1943"/>
    <w:rsid w:val="005E75A5"/>
    <w:rsid w:val="005F1499"/>
    <w:rsid w:val="005F21F8"/>
    <w:rsid w:val="005F29CB"/>
    <w:rsid w:val="005F2C68"/>
    <w:rsid w:val="005F7962"/>
    <w:rsid w:val="00601294"/>
    <w:rsid w:val="00603554"/>
    <w:rsid w:val="00604ADB"/>
    <w:rsid w:val="00607649"/>
    <w:rsid w:val="0060789E"/>
    <w:rsid w:val="0061018F"/>
    <w:rsid w:val="00612075"/>
    <w:rsid w:val="00613A86"/>
    <w:rsid w:val="0061643B"/>
    <w:rsid w:val="006214CF"/>
    <w:rsid w:val="00621F8D"/>
    <w:rsid w:val="00623658"/>
    <w:rsid w:val="00623CA6"/>
    <w:rsid w:val="006246BF"/>
    <w:rsid w:val="006261D7"/>
    <w:rsid w:val="00630A80"/>
    <w:rsid w:val="00631198"/>
    <w:rsid w:val="00631E31"/>
    <w:rsid w:val="00633097"/>
    <w:rsid w:val="00635076"/>
    <w:rsid w:val="00640E5A"/>
    <w:rsid w:val="00645002"/>
    <w:rsid w:val="00645D99"/>
    <w:rsid w:val="00646862"/>
    <w:rsid w:val="00651086"/>
    <w:rsid w:val="006535EC"/>
    <w:rsid w:val="00653D07"/>
    <w:rsid w:val="0066567B"/>
    <w:rsid w:val="00665C55"/>
    <w:rsid w:val="006678E6"/>
    <w:rsid w:val="00674489"/>
    <w:rsid w:val="0068309F"/>
    <w:rsid w:val="00683C4E"/>
    <w:rsid w:val="00686745"/>
    <w:rsid w:val="006873BF"/>
    <w:rsid w:val="0069099E"/>
    <w:rsid w:val="006A16CB"/>
    <w:rsid w:val="006A46F3"/>
    <w:rsid w:val="006C2BF1"/>
    <w:rsid w:val="006C3443"/>
    <w:rsid w:val="006C3481"/>
    <w:rsid w:val="006C4CBB"/>
    <w:rsid w:val="006C740D"/>
    <w:rsid w:val="006C7973"/>
    <w:rsid w:val="006D2B92"/>
    <w:rsid w:val="006D5086"/>
    <w:rsid w:val="006E0067"/>
    <w:rsid w:val="006E086B"/>
    <w:rsid w:val="006E1920"/>
    <w:rsid w:val="006E1ED9"/>
    <w:rsid w:val="006E2135"/>
    <w:rsid w:val="006E2D4B"/>
    <w:rsid w:val="006E472F"/>
    <w:rsid w:val="006F3888"/>
    <w:rsid w:val="00704E92"/>
    <w:rsid w:val="00706235"/>
    <w:rsid w:val="007100DD"/>
    <w:rsid w:val="00714C85"/>
    <w:rsid w:val="00720465"/>
    <w:rsid w:val="007222A0"/>
    <w:rsid w:val="007259F7"/>
    <w:rsid w:val="00725BA6"/>
    <w:rsid w:val="00735345"/>
    <w:rsid w:val="007374EA"/>
    <w:rsid w:val="0074257A"/>
    <w:rsid w:val="00744E0D"/>
    <w:rsid w:val="00751D33"/>
    <w:rsid w:val="00754A81"/>
    <w:rsid w:val="00754A93"/>
    <w:rsid w:val="007552D4"/>
    <w:rsid w:val="00756C27"/>
    <w:rsid w:val="00757933"/>
    <w:rsid w:val="00760CFE"/>
    <w:rsid w:val="007700A2"/>
    <w:rsid w:val="00796402"/>
    <w:rsid w:val="007968D3"/>
    <w:rsid w:val="00797FE3"/>
    <w:rsid w:val="007A364D"/>
    <w:rsid w:val="007B24AF"/>
    <w:rsid w:val="007B257B"/>
    <w:rsid w:val="007B545E"/>
    <w:rsid w:val="007B54BF"/>
    <w:rsid w:val="007C5005"/>
    <w:rsid w:val="007D4586"/>
    <w:rsid w:val="007D47A5"/>
    <w:rsid w:val="007D4B03"/>
    <w:rsid w:val="007D7FA1"/>
    <w:rsid w:val="007E172A"/>
    <w:rsid w:val="007E4B10"/>
    <w:rsid w:val="007E5FCE"/>
    <w:rsid w:val="007E6E43"/>
    <w:rsid w:val="007E748F"/>
    <w:rsid w:val="007F2BA7"/>
    <w:rsid w:val="007F694F"/>
    <w:rsid w:val="007F7890"/>
    <w:rsid w:val="00803201"/>
    <w:rsid w:val="008076D0"/>
    <w:rsid w:val="00814783"/>
    <w:rsid w:val="00817A8D"/>
    <w:rsid w:val="00820FB0"/>
    <w:rsid w:val="00833DF3"/>
    <w:rsid w:val="00847DAF"/>
    <w:rsid w:val="008574CC"/>
    <w:rsid w:val="0086103B"/>
    <w:rsid w:val="00863738"/>
    <w:rsid w:val="00863F88"/>
    <w:rsid w:val="00864AB0"/>
    <w:rsid w:val="0086741B"/>
    <w:rsid w:val="00867D88"/>
    <w:rsid w:val="00867E43"/>
    <w:rsid w:val="00870405"/>
    <w:rsid w:val="00883D34"/>
    <w:rsid w:val="00885C38"/>
    <w:rsid w:val="0089172B"/>
    <w:rsid w:val="008A6995"/>
    <w:rsid w:val="008A7416"/>
    <w:rsid w:val="008A7951"/>
    <w:rsid w:val="008B5460"/>
    <w:rsid w:val="008B755C"/>
    <w:rsid w:val="008C1825"/>
    <w:rsid w:val="008C1DA6"/>
    <w:rsid w:val="008C3A01"/>
    <w:rsid w:val="008C7F3F"/>
    <w:rsid w:val="008D12B3"/>
    <w:rsid w:val="008D32C8"/>
    <w:rsid w:val="008D344E"/>
    <w:rsid w:val="008D6E2E"/>
    <w:rsid w:val="008E246D"/>
    <w:rsid w:val="009037DB"/>
    <w:rsid w:val="00904D53"/>
    <w:rsid w:val="00904E88"/>
    <w:rsid w:val="00913E34"/>
    <w:rsid w:val="00914B26"/>
    <w:rsid w:val="00925D8E"/>
    <w:rsid w:val="00926860"/>
    <w:rsid w:val="00926FFB"/>
    <w:rsid w:val="009273DC"/>
    <w:rsid w:val="00930463"/>
    <w:rsid w:val="0093236E"/>
    <w:rsid w:val="0093310D"/>
    <w:rsid w:val="00935BEC"/>
    <w:rsid w:val="00944C68"/>
    <w:rsid w:val="009464DA"/>
    <w:rsid w:val="00950D90"/>
    <w:rsid w:val="00955856"/>
    <w:rsid w:val="00960ED1"/>
    <w:rsid w:val="0096152F"/>
    <w:rsid w:val="00967151"/>
    <w:rsid w:val="009758D2"/>
    <w:rsid w:val="00980F35"/>
    <w:rsid w:val="00981429"/>
    <w:rsid w:val="00982D9C"/>
    <w:rsid w:val="00984061"/>
    <w:rsid w:val="00984D06"/>
    <w:rsid w:val="00994811"/>
    <w:rsid w:val="009A27BE"/>
    <w:rsid w:val="009D10F3"/>
    <w:rsid w:val="009D4BA2"/>
    <w:rsid w:val="009D5BB8"/>
    <w:rsid w:val="009D7005"/>
    <w:rsid w:val="009E14C6"/>
    <w:rsid w:val="009E244D"/>
    <w:rsid w:val="009E5FA1"/>
    <w:rsid w:val="009F296F"/>
    <w:rsid w:val="009F33B5"/>
    <w:rsid w:val="009F4F5B"/>
    <w:rsid w:val="00A00F65"/>
    <w:rsid w:val="00A02B28"/>
    <w:rsid w:val="00A05577"/>
    <w:rsid w:val="00A071DB"/>
    <w:rsid w:val="00A07CCB"/>
    <w:rsid w:val="00A07ED0"/>
    <w:rsid w:val="00A12367"/>
    <w:rsid w:val="00A16339"/>
    <w:rsid w:val="00A20DC5"/>
    <w:rsid w:val="00A227D4"/>
    <w:rsid w:val="00A2322F"/>
    <w:rsid w:val="00A241C2"/>
    <w:rsid w:val="00A31F02"/>
    <w:rsid w:val="00A40DCF"/>
    <w:rsid w:val="00A45E53"/>
    <w:rsid w:val="00A46E4E"/>
    <w:rsid w:val="00A47786"/>
    <w:rsid w:val="00A54EE1"/>
    <w:rsid w:val="00A63BA0"/>
    <w:rsid w:val="00A70C86"/>
    <w:rsid w:val="00A76BFF"/>
    <w:rsid w:val="00A863D4"/>
    <w:rsid w:val="00A9558E"/>
    <w:rsid w:val="00A96B87"/>
    <w:rsid w:val="00AB1E1F"/>
    <w:rsid w:val="00AB3EF4"/>
    <w:rsid w:val="00AB500B"/>
    <w:rsid w:val="00AB5BC8"/>
    <w:rsid w:val="00AC1E78"/>
    <w:rsid w:val="00AC3FC5"/>
    <w:rsid w:val="00AD06B7"/>
    <w:rsid w:val="00AD1E96"/>
    <w:rsid w:val="00AD4A2E"/>
    <w:rsid w:val="00AD4C79"/>
    <w:rsid w:val="00AD510B"/>
    <w:rsid w:val="00AD6F19"/>
    <w:rsid w:val="00AE49C2"/>
    <w:rsid w:val="00AE562C"/>
    <w:rsid w:val="00AF01D0"/>
    <w:rsid w:val="00AF6C2F"/>
    <w:rsid w:val="00B0121C"/>
    <w:rsid w:val="00B06CA9"/>
    <w:rsid w:val="00B07087"/>
    <w:rsid w:val="00B106E8"/>
    <w:rsid w:val="00B107D1"/>
    <w:rsid w:val="00B14F90"/>
    <w:rsid w:val="00B156B7"/>
    <w:rsid w:val="00B172CD"/>
    <w:rsid w:val="00B2021E"/>
    <w:rsid w:val="00B31A89"/>
    <w:rsid w:val="00B32803"/>
    <w:rsid w:val="00B33B2F"/>
    <w:rsid w:val="00B34180"/>
    <w:rsid w:val="00B35737"/>
    <w:rsid w:val="00B3772F"/>
    <w:rsid w:val="00B3793E"/>
    <w:rsid w:val="00B42B28"/>
    <w:rsid w:val="00B44963"/>
    <w:rsid w:val="00B47B26"/>
    <w:rsid w:val="00B53F3D"/>
    <w:rsid w:val="00B540A6"/>
    <w:rsid w:val="00B54147"/>
    <w:rsid w:val="00B61434"/>
    <w:rsid w:val="00B631EA"/>
    <w:rsid w:val="00B6485E"/>
    <w:rsid w:val="00B701CF"/>
    <w:rsid w:val="00B83DA1"/>
    <w:rsid w:val="00B86847"/>
    <w:rsid w:val="00B901E5"/>
    <w:rsid w:val="00B93368"/>
    <w:rsid w:val="00B95362"/>
    <w:rsid w:val="00BA16BB"/>
    <w:rsid w:val="00BA595E"/>
    <w:rsid w:val="00BB053E"/>
    <w:rsid w:val="00BB2261"/>
    <w:rsid w:val="00BB3383"/>
    <w:rsid w:val="00BB7276"/>
    <w:rsid w:val="00BC4495"/>
    <w:rsid w:val="00BC78D3"/>
    <w:rsid w:val="00BD26D1"/>
    <w:rsid w:val="00BD4DDB"/>
    <w:rsid w:val="00BD55A3"/>
    <w:rsid w:val="00BD6B93"/>
    <w:rsid w:val="00BE5F6F"/>
    <w:rsid w:val="00BF10FA"/>
    <w:rsid w:val="00C0086C"/>
    <w:rsid w:val="00C0194B"/>
    <w:rsid w:val="00C01FB0"/>
    <w:rsid w:val="00C035E6"/>
    <w:rsid w:val="00C03EA6"/>
    <w:rsid w:val="00C06673"/>
    <w:rsid w:val="00C07575"/>
    <w:rsid w:val="00C11858"/>
    <w:rsid w:val="00C12F5A"/>
    <w:rsid w:val="00C166F2"/>
    <w:rsid w:val="00C210F2"/>
    <w:rsid w:val="00C26616"/>
    <w:rsid w:val="00C311B7"/>
    <w:rsid w:val="00C31D0F"/>
    <w:rsid w:val="00C32696"/>
    <w:rsid w:val="00C327B3"/>
    <w:rsid w:val="00C33429"/>
    <w:rsid w:val="00C351BD"/>
    <w:rsid w:val="00C35F6E"/>
    <w:rsid w:val="00C37A53"/>
    <w:rsid w:val="00C44D10"/>
    <w:rsid w:val="00C45D5F"/>
    <w:rsid w:val="00C46619"/>
    <w:rsid w:val="00C4712C"/>
    <w:rsid w:val="00C47204"/>
    <w:rsid w:val="00C64105"/>
    <w:rsid w:val="00C6569D"/>
    <w:rsid w:val="00C66E03"/>
    <w:rsid w:val="00C7540E"/>
    <w:rsid w:val="00C7650A"/>
    <w:rsid w:val="00C7686F"/>
    <w:rsid w:val="00C77BDB"/>
    <w:rsid w:val="00C80E76"/>
    <w:rsid w:val="00C84B16"/>
    <w:rsid w:val="00C9257F"/>
    <w:rsid w:val="00C93F32"/>
    <w:rsid w:val="00CA24F0"/>
    <w:rsid w:val="00CA2D75"/>
    <w:rsid w:val="00CA3150"/>
    <w:rsid w:val="00CA390F"/>
    <w:rsid w:val="00CA5E7F"/>
    <w:rsid w:val="00CA6A37"/>
    <w:rsid w:val="00CB0043"/>
    <w:rsid w:val="00CB0AF0"/>
    <w:rsid w:val="00CB1768"/>
    <w:rsid w:val="00CB4AD1"/>
    <w:rsid w:val="00CB7D31"/>
    <w:rsid w:val="00CC21BF"/>
    <w:rsid w:val="00CD0A8D"/>
    <w:rsid w:val="00CD44F6"/>
    <w:rsid w:val="00CD468C"/>
    <w:rsid w:val="00CD49A6"/>
    <w:rsid w:val="00CF30E0"/>
    <w:rsid w:val="00CF538A"/>
    <w:rsid w:val="00CF7E39"/>
    <w:rsid w:val="00D008DB"/>
    <w:rsid w:val="00D0174F"/>
    <w:rsid w:val="00D030E7"/>
    <w:rsid w:val="00D03DC8"/>
    <w:rsid w:val="00D1717D"/>
    <w:rsid w:val="00D172F9"/>
    <w:rsid w:val="00D17B71"/>
    <w:rsid w:val="00D200D6"/>
    <w:rsid w:val="00D22DF0"/>
    <w:rsid w:val="00D24110"/>
    <w:rsid w:val="00D30306"/>
    <w:rsid w:val="00D318D8"/>
    <w:rsid w:val="00D35547"/>
    <w:rsid w:val="00D473FA"/>
    <w:rsid w:val="00D54703"/>
    <w:rsid w:val="00D54C3D"/>
    <w:rsid w:val="00D5673F"/>
    <w:rsid w:val="00D603EA"/>
    <w:rsid w:val="00D605B1"/>
    <w:rsid w:val="00D6128C"/>
    <w:rsid w:val="00D62385"/>
    <w:rsid w:val="00D65E40"/>
    <w:rsid w:val="00D71616"/>
    <w:rsid w:val="00D71C8A"/>
    <w:rsid w:val="00D723BD"/>
    <w:rsid w:val="00D763D7"/>
    <w:rsid w:val="00D76B84"/>
    <w:rsid w:val="00D81CD5"/>
    <w:rsid w:val="00D82F00"/>
    <w:rsid w:val="00D83E64"/>
    <w:rsid w:val="00D850AC"/>
    <w:rsid w:val="00D91DC9"/>
    <w:rsid w:val="00D958DD"/>
    <w:rsid w:val="00DA1376"/>
    <w:rsid w:val="00DA65BE"/>
    <w:rsid w:val="00DA697C"/>
    <w:rsid w:val="00DB148B"/>
    <w:rsid w:val="00DB1566"/>
    <w:rsid w:val="00DB3D0F"/>
    <w:rsid w:val="00DB3D91"/>
    <w:rsid w:val="00DB4BDC"/>
    <w:rsid w:val="00DB5C76"/>
    <w:rsid w:val="00DB62C2"/>
    <w:rsid w:val="00DB7AD5"/>
    <w:rsid w:val="00DD1854"/>
    <w:rsid w:val="00DD3E54"/>
    <w:rsid w:val="00DD620F"/>
    <w:rsid w:val="00DD6413"/>
    <w:rsid w:val="00DE46C6"/>
    <w:rsid w:val="00E022C0"/>
    <w:rsid w:val="00E04E50"/>
    <w:rsid w:val="00E11F48"/>
    <w:rsid w:val="00E139B8"/>
    <w:rsid w:val="00E13E95"/>
    <w:rsid w:val="00E15E43"/>
    <w:rsid w:val="00E16155"/>
    <w:rsid w:val="00E2108C"/>
    <w:rsid w:val="00E2280C"/>
    <w:rsid w:val="00E311DB"/>
    <w:rsid w:val="00E37024"/>
    <w:rsid w:val="00E45E10"/>
    <w:rsid w:val="00E46CBE"/>
    <w:rsid w:val="00E46DB4"/>
    <w:rsid w:val="00E47B0D"/>
    <w:rsid w:val="00E47E17"/>
    <w:rsid w:val="00E5256E"/>
    <w:rsid w:val="00E655A7"/>
    <w:rsid w:val="00E65EC4"/>
    <w:rsid w:val="00E73122"/>
    <w:rsid w:val="00E74A41"/>
    <w:rsid w:val="00E7733E"/>
    <w:rsid w:val="00E82F70"/>
    <w:rsid w:val="00E84F3B"/>
    <w:rsid w:val="00E85A71"/>
    <w:rsid w:val="00E878D5"/>
    <w:rsid w:val="00E87A72"/>
    <w:rsid w:val="00E96ABB"/>
    <w:rsid w:val="00EA1911"/>
    <w:rsid w:val="00EA2446"/>
    <w:rsid w:val="00EA3EAF"/>
    <w:rsid w:val="00EA7A55"/>
    <w:rsid w:val="00EB0794"/>
    <w:rsid w:val="00EB5BB0"/>
    <w:rsid w:val="00EB7D27"/>
    <w:rsid w:val="00EC0703"/>
    <w:rsid w:val="00EC185D"/>
    <w:rsid w:val="00EC3053"/>
    <w:rsid w:val="00EC6FE5"/>
    <w:rsid w:val="00ED2928"/>
    <w:rsid w:val="00ED3FAC"/>
    <w:rsid w:val="00ED6E18"/>
    <w:rsid w:val="00EE3C0A"/>
    <w:rsid w:val="00EE4449"/>
    <w:rsid w:val="00EF23C8"/>
    <w:rsid w:val="00EF3026"/>
    <w:rsid w:val="00EF6C3D"/>
    <w:rsid w:val="00F03B15"/>
    <w:rsid w:val="00F03D7F"/>
    <w:rsid w:val="00F04BE9"/>
    <w:rsid w:val="00F12E05"/>
    <w:rsid w:val="00F1335F"/>
    <w:rsid w:val="00F14AC5"/>
    <w:rsid w:val="00F15D6E"/>
    <w:rsid w:val="00F166CA"/>
    <w:rsid w:val="00F22058"/>
    <w:rsid w:val="00F22406"/>
    <w:rsid w:val="00F253D0"/>
    <w:rsid w:val="00F267B4"/>
    <w:rsid w:val="00F30BEE"/>
    <w:rsid w:val="00F32419"/>
    <w:rsid w:val="00F3554B"/>
    <w:rsid w:val="00F42FE0"/>
    <w:rsid w:val="00F431DE"/>
    <w:rsid w:val="00F46223"/>
    <w:rsid w:val="00F478C3"/>
    <w:rsid w:val="00F541DA"/>
    <w:rsid w:val="00F549B4"/>
    <w:rsid w:val="00F6079D"/>
    <w:rsid w:val="00F61C3D"/>
    <w:rsid w:val="00F64C72"/>
    <w:rsid w:val="00F65556"/>
    <w:rsid w:val="00F7102B"/>
    <w:rsid w:val="00F71ADE"/>
    <w:rsid w:val="00F74330"/>
    <w:rsid w:val="00F754F3"/>
    <w:rsid w:val="00F80001"/>
    <w:rsid w:val="00F81BDE"/>
    <w:rsid w:val="00F86B5D"/>
    <w:rsid w:val="00F86BBF"/>
    <w:rsid w:val="00F9406E"/>
    <w:rsid w:val="00F943C0"/>
    <w:rsid w:val="00FA1EC9"/>
    <w:rsid w:val="00FA2501"/>
    <w:rsid w:val="00FA3052"/>
    <w:rsid w:val="00FA3382"/>
    <w:rsid w:val="00FB24B4"/>
    <w:rsid w:val="00FC0C9B"/>
    <w:rsid w:val="00FC2A56"/>
    <w:rsid w:val="00FC3EC2"/>
    <w:rsid w:val="00FE2870"/>
    <w:rsid w:val="00FF1625"/>
    <w:rsid w:val="00FF1998"/>
    <w:rsid w:val="00FF2840"/>
    <w:rsid w:val="00FF60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578D0"/>
  <w14:defaultImageDpi w14:val="300"/>
  <w15:docId w15:val="{80B5639B-9A32-054E-A85F-FF2DBB1D3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46E4E"/>
    <w:rPr>
      <w:rFonts w:ascii="Times New Roman" w:eastAsia="Times New Roman" w:hAnsi="Times New Roman" w:cs="Times New Roman"/>
    </w:rPr>
  </w:style>
  <w:style w:type="paragraph" w:styleId="Heading1">
    <w:name w:val="heading 1"/>
    <w:basedOn w:val="Normal"/>
    <w:next w:val="Normal"/>
    <w:link w:val="Heading1Char"/>
    <w:uiPriority w:val="9"/>
    <w:qFormat/>
    <w:rsid w:val="00A863D4"/>
    <w:pPr>
      <w:keepNext/>
      <w:keepLines/>
      <w:spacing w:before="48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A863D4"/>
    <w:pPr>
      <w:keepNext/>
      <w:keepLines/>
      <w:spacing w:before="200"/>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D91DC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47E17"/>
    <w:pPr>
      <w:ind w:left="720"/>
      <w:contextualSpacing/>
    </w:pPr>
  </w:style>
  <w:style w:type="paragraph" w:styleId="BalloonText">
    <w:name w:val="Balloon Text"/>
    <w:basedOn w:val="Normal"/>
    <w:link w:val="BalloonTextChar"/>
    <w:uiPriority w:val="99"/>
    <w:semiHidden/>
    <w:unhideWhenUsed/>
    <w:rsid w:val="000039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923"/>
    <w:rPr>
      <w:rFonts w:ascii="Lucida Grande" w:hAnsi="Lucida Grande" w:cs="Lucida Grande"/>
      <w:sz w:val="18"/>
      <w:szCs w:val="18"/>
    </w:rPr>
  </w:style>
  <w:style w:type="character" w:styleId="Hyperlink">
    <w:name w:val="Hyperlink"/>
    <w:basedOn w:val="DefaultParagraphFont"/>
    <w:uiPriority w:val="99"/>
    <w:unhideWhenUsed/>
    <w:rsid w:val="00640E5A"/>
    <w:rPr>
      <w:color w:val="0000FF"/>
      <w:u w:val="single"/>
    </w:rPr>
  </w:style>
  <w:style w:type="paragraph" w:customStyle="1" w:styleId="Standard">
    <w:name w:val="Standard"/>
    <w:rsid w:val="00BD4DDB"/>
    <w:pPr>
      <w:suppressAutoHyphens/>
      <w:autoSpaceDN w:val="0"/>
      <w:textAlignment w:val="baseline"/>
    </w:pPr>
    <w:rPr>
      <w:rFonts w:ascii="Times New Roman" w:eastAsia="Times New Roman" w:hAnsi="Times New Roman" w:cs="Times New Roman"/>
      <w:kern w:val="3"/>
    </w:rPr>
  </w:style>
  <w:style w:type="numbering" w:customStyle="1" w:styleId="WWNum1">
    <w:name w:val="WWNum1"/>
    <w:basedOn w:val="NoList"/>
    <w:rsid w:val="00BD4DDB"/>
    <w:pPr>
      <w:numPr>
        <w:numId w:val="1"/>
      </w:numPr>
    </w:pPr>
  </w:style>
  <w:style w:type="paragraph" w:styleId="FootnoteText">
    <w:name w:val="footnote text"/>
    <w:basedOn w:val="Normal"/>
    <w:link w:val="FootnoteTextChar"/>
    <w:uiPriority w:val="99"/>
    <w:unhideWhenUsed/>
    <w:rsid w:val="00F86BBF"/>
  </w:style>
  <w:style w:type="character" w:customStyle="1" w:styleId="FootnoteTextChar">
    <w:name w:val="Footnote Text Char"/>
    <w:basedOn w:val="DefaultParagraphFont"/>
    <w:link w:val="FootnoteText"/>
    <w:uiPriority w:val="99"/>
    <w:rsid w:val="00F86BBF"/>
  </w:style>
  <w:style w:type="character" w:styleId="FootnoteReference">
    <w:name w:val="footnote reference"/>
    <w:basedOn w:val="DefaultParagraphFont"/>
    <w:uiPriority w:val="99"/>
    <w:unhideWhenUsed/>
    <w:rsid w:val="00F86BBF"/>
    <w:rPr>
      <w:vertAlign w:val="superscript"/>
    </w:rPr>
  </w:style>
  <w:style w:type="paragraph" w:customStyle="1" w:styleId="Default">
    <w:name w:val="Default"/>
    <w:rsid w:val="00AC1E78"/>
    <w:pPr>
      <w:autoSpaceDE w:val="0"/>
      <w:autoSpaceDN w:val="0"/>
      <w:adjustRightInd w:val="0"/>
    </w:pPr>
    <w:rPr>
      <w:rFonts w:ascii="Arial" w:eastAsia="Times New Roman" w:hAnsi="Arial" w:cs="Arial"/>
      <w:color w:val="000000"/>
      <w:lang w:val="en-GB"/>
    </w:rPr>
  </w:style>
  <w:style w:type="paragraph" w:customStyle="1" w:styleId="ColorfulShading-Accent31">
    <w:name w:val="Colorful Shading - Accent 31"/>
    <w:basedOn w:val="Normal"/>
    <w:uiPriority w:val="34"/>
    <w:qFormat/>
    <w:rsid w:val="00984061"/>
    <w:pPr>
      <w:ind w:left="720"/>
    </w:pPr>
  </w:style>
  <w:style w:type="paragraph" w:customStyle="1" w:styleId="ColorfulList-Accent11">
    <w:name w:val="Colorful List - Accent 11"/>
    <w:basedOn w:val="Normal"/>
    <w:uiPriority w:val="34"/>
    <w:qFormat/>
    <w:rsid w:val="00BA595E"/>
    <w:pPr>
      <w:ind w:left="720"/>
      <w:contextualSpacing/>
    </w:pPr>
  </w:style>
  <w:style w:type="character" w:customStyle="1" w:styleId="sb8d990e2">
    <w:name w:val="sb8d990e2"/>
    <w:rsid w:val="003F68A4"/>
  </w:style>
  <w:style w:type="paragraph" w:customStyle="1" w:styleId="JuPara">
    <w:name w:val="Ju_Para"/>
    <w:aliases w:val="Left,First line:  0 cm"/>
    <w:basedOn w:val="Normal"/>
    <w:link w:val="JuParaCar"/>
    <w:rsid w:val="00D76B84"/>
    <w:pPr>
      <w:suppressAutoHyphens/>
      <w:ind w:firstLine="284"/>
      <w:jc w:val="both"/>
    </w:pPr>
    <w:rPr>
      <w:szCs w:val="20"/>
      <w:lang w:val="en-GB" w:eastAsia="fr-FR"/>
    </w:rPr>
  </w:style>
  <w:style w:type="character" w:customStyle="1" w:styleId="JuParaCar">
    <w:name w:val="Ju_Para Car"/>
    <w:basedOn w:val="DefaultParagraphFont"/>
    <w:link w:val="JuPara"/>
    <w:locked/>
    <w:rsid w:val="00D76B84"/>
    <w:rPr>
      <w:rFonts w:ascii="Times New Roman" w:eastAsia="Times New Roman" w:hAnsi="Times New Roman" w:cs="Times New Roman"/>
      <w:szCs w:val="20"/>
      <w:lang w:val="en-GB" w:eastAsia="fr-FR"/>
    </w:rPr>
  </w:style>
  <w:style w:type="paragraph" w:styleId="Header">
    <w:name w:val="header"/>
    <w:basedOn w:val="Normal"/>
    <w:link w:val="HeaderChar"/>
    <w:uiPriority w:val="99"/>
    <w:unhideWhenUsed/>
    <w:rsid w:val="0051067C"/>
    <w:pPr>
      <w:tabs>
        <w:tab w:val="center" w:pos="4320"/>
        <w:tab w:val="right" w:pos="8640"/>
      </w:tabs>
    </w:pPr>
  </w:style>
  <w:style w:type="character" w:customStyle="1" w:styleId="HeaderChar">
    <w:name w:val="Header Char"/>
    <w:basedOn w:val="DefaultParagraphFont"/>
    <w:link w:val="Header"/>
    <w:uiPriority w:val="99"/>
    <w:rsid w:val="0051067C"/>
  </w:style>
  <w:style w:type="paragraph" w:styleId="Footer">
    <w:name w:val="footer"/>
    <w:basedOn w:val="Normal"/>
    <w:link w:val="FooterChar"/>
    <w:uiPriority w:val="99"/>
    <w:unhideWhenUsed/>
    <w:rsid w:val="0051067C"/>
    <w:pPr>
      <w:tabs>
        <w:tab w:val="center" w:pos="4320"/>
        <w:tab w:val="right" w:pos="8640"/>
      </w:tabs>
    </w:pPr>
  </w:style>
  <w:style w:type="character" w:customStyle="1" w:styleId="FooterChar">
    <w:name w:val="Footer Char"/>
    <w:basedOn w:val="DefaultParagraphFont"/>
    <w:link w:val="Footer"/>
    <w:uiPriority w:val="99"/>
    <w:rsid w:val="0051067C"/>
  </w:style>
  <w:style w:type="character" w:styleId="PageNumber">
    <w:name w:val="page number"/>
    <w:basedOn w:val="DefaultParagraphFont"/>
    <w:unhideWhenUsed/>
    <w:rsid w:val="000135BE"/>
  </w:style>
  <w:style w:type="paragraph" w:customStyle="1" w:styleId="m1017554203034269597msolistparagraph">
    <w:name w:val="m_1017554203034269597msolistparagraph"/>
    <w:basedOn w:val="Normal"/>
    <w:rsid w:val="003C4C65"/>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3C4C65"/>
  </w:style>
  <w:style w:type="character" w:customStyle="1" w:styleId="Heading1Char">
    <w:name w:val="Heading 1 Char"/>
    <w:basedOn w:val="DefaultParagraphFont"/>
    <w:link w:val="Heading1"/>
    <w:uiPriority w:val="9"/>
    <w:rsid w:val="00A863D4"/>
    <w:rPr>
      <w:rFonts w:ascii="Arial" w:eastAsiaTheme="majorEastAsia" w:hAnsi="Arial" w:cstheme="majorBidi"/>
      <w:b/>
      <w:bCs/>
      <w:sz w:val="28"/>
      <w:szCs w:val="28"/>
    </w:rPr>
  </w:style>
  <w:style w:type="paragraph" w:styleId="TOCHeading">
    <w:name w:val="TOC Heading"/>
    <w:basedOn w:val="Heading1"/>
    <w:next w:val="Normal"/>
    <w:uiPriority w:val="39"/>
    <w:semiHidden/>
    <w:unhideWhenUsed/>
    <w:qFormat/>
    <w:rsid w:val="00CF7E39"/>
    <w:pPr>
      <w:spacing w:line="276" w:lineRule="auto"/>
      <w:outlineLvl w:val="9"/>
    </w:pPr>
    <w:rPr>
      <w:color w:val="365F91" w:themeColor="accent1" w:themeShade="BF"/>
      <w:lang w:eastAsia="ja-JP"/>
    </w:rPr>
  </w:style>
  <w:style w:type="paragraph" w:styleId="TOC1">
    <w:name w:val="toc 1"/>
    <w:basedOn w:val="Normal"/>
    <w:next w:val="Normal"/>
    <w:autoRedefine/>
    <w:uiPriority w:val="39"/>
    <w:unhideWhenUsed/>
    <w:rsid w:val="00C03EA6"/>
    <w:pPr>
      <w:tabs>
        <w:tab w:val="left" w:pos="440"/>
        <w:tab w:val="right" w:leader="dot" w:pos="8290"/>
      </w:tabs>
      <w:spacing w:after="100"/>
    </w:pPr>
  </w:style>
  <w:style w:type="character" w:styleId="CommentReference">
    <w:name w:val="annotation reference"/>
    <w:basedOn w:val="DefaultParagraphFont"/>
    <w:uiPriority w:val="99"/>
    <w:semiHidden/>
    <w:unhideWhenUsed/>
    <w:rsid w:val="008E246D"/>
    <w:rPr>
      <w:sz w:val="16"/>
      <w:szCs w:val="16"/>
    </w:rPr>
  </w:style>
  <w:style w:type="paragraph" w:styleId="CommentText">
    <w:name w:val="annotation text"/>
    <w:basedOn w:val="Normal"/>
    <w:link w:val="CommentTextChar"/>
    <w:uiPriority w:val="99"/>
    <w:semiHidden/>
    <w:unhideWhenUsed/>
    <w:rsid w:val="008E246D"/>
    <w:rPr>
      <w:sz w:val="20"/>
      <w:szCs w:val="20"/>
    </w:rPr>
  </w:style>
  <w:style w:type="character" w:customStyle="1" w:styleId="CommentTextChar">
    <w:name w:val="Comment Text Char"/>
    <w:basedOn w:val="DefaultParagraphFont"/>
    <w:link w:val="CommentText"/>
    <w:uiPriority w:val="99"/>
    <w:semiHidden/>
    <w:rsid w:val="008E246D"/>
    <w:rPr>
      <w:sz w:val="20"/>
      <w:szCs w:val="20"/>
    </w:rPr>
  </w:style>
  <w:style w:type="paragraph" w:styleId="CommentSubject">
    <w:name w:val="annotation subject"/>
    <w:basedOn w:val="CommentText"/>
    <w:next w:val="CommentText"/>
    <w:link w:val="CommentSubjectChar"/>
    <w:uiPriority w:val="99"/>
    <w:semiHidden/>
    <w:unhideWhenUsed/>
    <w:rsid w:val="008E246D"/>
    <w:rPr>
      <w:b/>
      <w:bCs/>
    </w:rPr>
  </w:style>
  <w:style w:type="character" w:customStyle="1" w:styleId="CommentSubjectChar">
    <w:name w:val="Comment Subject Char"/>
    <w:basedOn w:val="CommentTextChar"/>
    <w:link w:val="CommentSubject"/>
    <w:uiPriority w:val="99"/>
    <w:semiHidden/>
    <w:rsid w:val="008E246D"/>
    <w:rPr>
      <w:b/>
      <w:bCs/>
      <w:sz w:val="20"/>
      <w:szCs w:val="20"/>
    </w:rPr>
  </w:style>
  <w:style w:type="character" w:customStyle="1" w:styleId="Heading2Char">
    <w:name w:val="Heading 2 Char"/>
    <w:basedOn w:val="DefaultParagraphFont"/>
    <w:link w:val="Heading2"/>
    <w:uiPriority w:val="9"/>
    <w:rsid w:val="00A863D4"/>
    <w:rPr>
      <w:rFonts w:ascii="Arial" w:eastAsiaTheme="majorEastAsia" w:hAnsi="Arial" w:cstheme="majorBidi"/>
      <w:b/>
      <w:bCs/>
      <w:szCs w:val="26"/>
    </w:rPr>
  </w:style>
  <w:style w:type="paragraph" w:styleId="TOC2">
    <w:name w:val="toc 2"/>
    <w:basedOn w:val="Normal"/>
    <w:next w:val="Normal"/>
    <w:autoRedefine/>
    <w:uiPriority w:val="39"/>
    <w:unhideWhenUsed/>
    <w:rsid w:val="00C03EA6"/>
    <w:pPr>
      <w:spacing w:after="100"/>
      <w:ind w:left="240"/>
    </w:pPr>
  </w:style>
  <w:style w:type="paragraph" w:styleId="Revision">
    <w:name w:val="Revision"/>
    <w:hidden/>
    <w:uiPriority w:val="99"/>
    <w:semiHidden/>
    <w:rsid w:val="0004077D"/>
  </w:style>
  <w:style w:type="character" w:customStyle="1" w:styleId="Heading3Char">
    <w:name w:val="Heading 3 Char"/>
    <w:basedOn w:val="DefaultParagraphFont"/>
    <w:link w:val="Heading3"/>
    <w:uiPriority w:val="9"/>
    <w:rsid w:val="00D91DC9"/>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B3793E"/>
    <w:pPr>
      <w:spacing w:after="100"/>
      <w:ind w:left="480"/>
    </w:pPr>
  </w:style>
  <w:style w:type="character" w:styleId="UnresolvedMention">
    <w:name w:val="Unresolved Mention"/>
    <w:basedOn w:val="DefaultParagraphFont"/>
    <w:uiPriority w:val="99"/>
    <w:rsid w:val="005317AC"/>
    <w:rPr>
      <w:color w:val="808080"/>
      <w:shd w:val="clear" w:color="auto" w:fill="E6E6E6"/>
    </w:rPr>
  </w:style>
  <w:style w:type="character" w:styleId="Emphasis">
    <w:name w:val="Emphasis"/>
    <w:basedOn w:val="DefaultParagraphFont"/>
    <w:uiPriority w:val="20"/>
    <w:qFormat/>
    <w:rsid w:val="00145A19"/>
    <w:rPr>
      <w:i/>
      <w:iCs/>
    </w:rPr>
  </w:style>
  <w:style w:type="character" w:styleId="FollowedHyperlink">
    <w:name w:val="FollowedHyperlink"/>
    <w:basedOn w:val="DefaultParagraphFont"/>
    <w:uiPriority w:val="99"/>
    <w:semiHidden/>
    <w:unhideWhenUsed/>
    <w:rsid w:val="00F65556"/>
    <w:rPr>
      <w:color w:val="800080" w:themeColor="followedHyperlink"/>
      <w:u w:val="single"/>
    </w:rPr>
  </w:style>
  <w:style w:type="paragraph" w:styleId="NormalWeb">
    <w:name w:val="Normal (Web)"/>
    <w:basedOn w:val="Normal"/>
    <w:uiPriority w:val="99"/>
    <w:unhideWhenUsed/>
    <w:rsid w:val="00A46E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49379">
      <w:bodyDiv w:val="1"/>
      <w:marLeft w:val="0"/>
      <w:marRight w:val="0"/>
      <w:marTop w:val="0"/>
      <w:marBottom w:val="0"/>
      <w:divBdr>
        <w:top w:val="none" w:sz="0" w:space="0" w:color="auto"/>
        <w:left w:val="none" w:sz="0" w:space="0" w:color="auto"/>
        <w:bottom w:val="none" w:sz="0" w:space="0" w:color="auto"/>
        <w:right w:val="none" w:sz="0" w:space="0" w:color="auto"/>
      </w:divBdr>
    </w:div>
    <w:div w:id="258563982">
      <w:bodyDiv w:val="1"/>
      <w:marLeft w:val="0"/>
      <w:marRight w:val="0"/>
      <w:marTop w:val="0"/>
      <w:marBottom w:val="0"/>
      <w:divBdr>
        <w:top w:val="none" w:sz="0" w:space="0" w:color="auto"/>
        <w:left w:val="none" w:sz="0" w:space="0" w:color="auto"/>
        <w:bottom w:val="none" w:sz="0" w:space="0" w:color="auto"/>
        <w:right w:val="none" w:sz="0" w:space="0" w:color="auto"/>
      </w:divBdr>
    </w:div>
    <w:div w:id="288051154">
      <w:bodyDiv w:val="1"/>
      <w:marLeft w:val="0"/>
      <w:marRight w:val="0"/>
      <w:marTop w:val="0"/>
      <w:marBottom w:val="0"/>
      <w:divBdr>
        <w:top w:val="none" w:sz="0" w:space="0" w:color="auto"/>
        <w:left w:val="none" w:sz="0" w:space="0" w:color="auto"/>
        <w:bottom w:val="none" w:sz="0" w:space="0" w:color="auto"/>
        <w:right w:val="none" w:sz="0" w:space="0" w:color="auto"/>
      </w:divBdr>
    </w:div>
    <w:div w:id="336003484">
      <w:bodyDiv w:val="1"/>
      <w:marLeft w:val="0"/>
      <w:marRight w:val="0"/>
      <w:marTop w:val="0"/>
      <w:marBottom w:val="0"/>
      <w:divBdr>
        <w:top w:val="none" w:sz="0" w:space="0" w:color="auto"/>
        <w:left w:val="none" w:sz="0" w:space="0" w:color="auto"/>
        <w:bottom w:val="none" w:sz="0" w:space="0" w:color="auto"/>
        <w:right w:val="none" w:sz="0" w:space="0" w:color="auto"/>
      </w:divBdr>
    </w:div>
    <w:div w:id="457530317">
      <w:bodyDiv w:val="1"/>
      <w:marLeft w:val="0"/>
      <w:marRight w:val="0"/>
      <w:marTop w:val="0"/>
      <w:marBottom w:val="0"/>
      <w:divBdr>
        <w:top w:val="none" w:sz="0" w:space="0" w:color="auto"/>
        <w:left w:val="none" w:sz="0" w:space="0" w:color="auto"/>
        <w:bottom w:val="none" w:sz="0" w:space="0" w:color="auto"/>
        <w:right w:val="none" w:sz="0" w:space="0" w:color="auto"/>
      </w:divBdr>
      <w:divsChild>
        <w:div w:id="457838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7519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3131209">
      <w:bodyDiv w:val="1"/>
      <w:marLeft w:val="0"/>
      <w:marRight w:val="0"/>
      <w:marTop w:val="0"/>
      <w:marBottom w:val="0"/>
      <w:divBdr>
        <w:top w:val="none" w:sz="0" w:space="0" w:color="auto"/>
        <w:left w:val="none" w:sz="0" w:space="0" w:color="auto"/>
        <w:bottom w:val="none" w:sz="0" w:space="0" w:color="auto"/>
        <w:right w:val="none" w:sz="0" w:space="0" w:color="auto"/>
      </w:divBdr>
    </w:div>
    <w:div w:id="595528393">
      <w:bodyDiv w:val="1"/>
      <w:marLeft w:val="0"/>
      <w:marRight w:val="0"/>
      <w:marTop w:val="0"/>
      <w:marBottom w:val="0"/>
      <w:divBdr>
        <w:top w:val="none" w:sz="0" w:space="0" w:color="auto"/>
        <w:left w:val="none" w:sz="0" w:space="0" w:color="auto"/>
        <w:bottom w:val="none" w:sz="0" w:space="0" w:color="auto"/>
        <w:right w:val="none" w:sz="0" w:space="0" w:color="auto"/>
      </w:divBdr>
    </w:div>
    <w:div w:id="633876496">
      <w:bodyDiv w:val="1"/>
      <w:marLeft w:val="0"/>
      <w:marRight w:val="0"/>
      <w:marTop w:val="0"/>
      <w:marBottom w:val="0"/>
      <w:divBdr>
        <w:top w:val="none" w:sz="0" w:space="0" w:color="auto"/>
        <w:left w:val="none" w:sz="0" w:space="0" w:color="auto"/>
        <w:bottom w:val="none" w:sz="0" w:space="0" w:color="auto"/>
        <w:right w:val="none" w:sz="0" w:space="0" w:color="auto"/>
      </w:divBdr>
    </w:div>
    <w:div w:id="658121132">
      <w:bodyDiv w:val="1"/>
      <w:marLeft w:val="0"/>
      <w:marRight w:val="0"/>
      <w:marTop w:val="0"/>
      <w:marBottom w:val="0"/>
      <w:divBdr>
        <w:top w:val="none" w:sz="0" w:space="0" w:color="auto"/>
        <w:left w:val="none" w:sz="0" w:space="0" w:color="auto"/>
        <w:bottom w:val="none" w:sz="0" w:space="0" w:color="auto"/>
        <w:right w:val="none" w:sz="0" w:space="0" w:color="auto"/>
      </w:divBdr>
    </w:div>
    <w:div w:id="756634255">
      <w:bodyDiv w:val="1"/>
      <w:marLeft w:val="0"/>
      <w:marRight w:val="0"/>
      <w:marTop w:val="0"/>
      <w:marBottom w:val="0"/>
      <w:divBdr>
        <w:top w:val="none" w:sz="0" w:space="0" w:color="auto"/>
        <w:left w:val="none" w:sz="0" w:space="0" w:color="auto"/>
        <w:bottom w:val="none" w:sz="0" w:space="0" w:color="auto"/>
        <w:right w:val="none" w:sz="0" w:space="0" w:color="auto"/>
      </w:divBdr>
    </w:div>
    <w:div w:id="843711868">
      <w:bodyDiv w:val="1"/>
      <w:marLeft w:val="0"/>
      <w:marRight w:val="0"/>
      <w:marTop w:val="0"/>
      <w:marBottom w:val="0"/>
      <w:divBdr>
        <w:top w:val="none" w:sz="0" w:space="0" w:color="auto"/>
        <w:left w:val="none" w:sz="0" w:space="0" w:color="auto"/>
        <w:bottom w:val="none" w:sz="0" w:space="0" w:color="auto"/>
        <w:right w:val="none" w:sz="0" w:space="0" w:color="auto"/>
      </w:divBdr>
    </w:div>
    <w:div w:id="943538113">
      <w:bodyDiv w:val="1"/>
      <w:marLeft w:val="0"/>
      <w:marRight w:val="0"/>
      <w:marTop w:val="0"/>
      <w:marBottom w:val="0"/>
      <w:divBdr>
        <w:top w:val="none" w:sz="0" w:space="0" w:color="auto"/>
        <w:left w:val="none" w:sz="0" w:space="0" w:color="auto"/>
        <w:bottom w:val="none" w:sz="0" w:space="0" w:color="auto"/>
        <w:right w:val="none" w:sz="0" w:space="0" w:color="auto"/>
      </w:divBdr>
    </w:div>
    <w:div w:id="1055273152">
      <w:bodyDiv w:val="1"/>
      <w:marLeft w:val="0"/>
      <w:marRight w:val="0"/>
      <w:marTop w:val="0"/>
      <w:marBottom w:val="0"/>
      <w:divBdr>
        <w:top w:val="none" w:sz="0" w:space="0" w:color="auto"/>
        <w:left w:val="none" w:sz="0" w:space="0" w:color="auto"/>
        <w:bottom w:val="none" w:sz="0" w:space="0" w:color="auto"/>
        <w:right w:val="none" w:sz="0" w:space="0" w:color="auto"/>
      </w:divBdr>
    </w:div>
    <w:div w:id="1102140859">
      <w:bodyDiv w:val="1"/>
      <w:marLeft w:val="0"/>
      <w:marRight w:val="0"/>
      <w:marTop w:val="0"/>
      <w:marBottom w:val="0"/>
      <w:divBdr>
        <w:top w:val="none" w:sz="0" w:space="0" w:color="auto"/>
        <w:left w:val="none" w:sz="0" w:space="0" w:color="auto"/>
        <w:bottom w:val="none" w:sz="0" w:space="0" w:color="auto"/>
        <w:right w:val="none" w:sz="0" w:space="0" w:color="auto"/>
      </w:divBdr>
    </w:div>
    <w:div w:id="1186365323">
      <w:bodyDiv w:val="1"/>
      <w:marLeft w:val="0"/>
      <w:marRight w:val="0"/>
      <w:marTop w:val="0"/>
      <w:marBottom w:val="0"/>
      <w:divBdr>
        <w:top w:val="none" w:sz="0" w:space="0" w:color="auto"/>
        <w:left w:val="none" w:sz="0" w:space="0" w:color="auto"/>
        <w:bottom w:val="none" w:sz="0" w:space="0" w:color="auto"/>
        <w:right w:val="none" w:sz="0" w:space="0" w:color="auto"/>
      </w:divBdr>
    </w:div>
    <w:div w:id="1207599070">
      <w:bodyDiv w:val="1"/>
      <w:marLeft w:val="0"/>
      <w:marRight w:val="0"/>
      <w:marTop w:val="0"/>
      <w:marBottom w:val="0"/>
      <w:divBdr>
        <w:top w:val="none" w:sz="0" w:space="0" w:color="auto"/>
        <w:left w:val="none" w:sz="0" w:space="0" w:color="auto"/>
        <w:bottom w:val="none" w:sz="0" w:space="0" w:color="auto"/>
        <w:right w:val="none" w:sz="0" w:space="0" w:color="auto"/>
      </w:divBdr>
    </w:div>
    <w:div w:id="1662001334">
      <w:bodyDiv w:val="1"/>
      <w:marLeft w:val="0"/>
      <w:marRight w:val="0"/>
      <w:marTop w:val="0"/>
      <w:marBottom w:val="0"/>
      <w:divBdr>
        <w:top w:val="none" w:sz="0" w:space="0" w:color="auto"/>
        <w:left w:val="none" w:sz="0" w:space="0" w:color="auto"/>
        <w:bottom w:val="none" w:sz="0" w:space="0" w:color="auto"/>
        <w:right w:val="none" w:sz="0" w:space="0" w:color="auto"/>
      </w:divBdr>
    </w:div>
    <w:div w:id="1839421328">
      <w:bodyDiv w:val="1"/>
      <w:marLeft w:val="0"/>
      <w:marRight w:val="0"/>
      <w:marTop w:val="0"/>
      <w:marBottom w:val="0"/>
      <w:divBdr>
        <w:top w:val="none" w:sz="0" w:space="0" w:color="auto"/>
        <w:left w:val="none" w:sz="0" w:space="0" w:color="auto"/>
        <w:bottom w:val="none" w:sz="0" w:space="0" w:color="auto"/>
        <w:right w:val="none" w:sz="0" w:space="0" w:color="auto"/>
      </w:divBdr>
      <w:divsChild>
        <w:div w:id="1372730488">
          <w:marLeft w:val="0"/>
          <w:marRight w:val="0"/>
          <w:marTop w:val="0"/>
          <w:marBottom w:val="0"/>
          <w:divBdr>
            <w:top w:val="none" w:sz="0" w:space="0" w:color="auto"/>
            <w:left w:val="none" w:sz="0" w:space="0" w:color="auto"/>
            <w:bottom w:val="none" w:sz="0" w:space="0" w:color="auto"/>
            <w:right w:val="none" w:sz="0" w:space="0" w:color="auto"/>
          </w:divBdr>
          <w:divsChild>
            <w:div w:id="402022419">
              <w:marLeft w:val="0"/>
              <w:marRight w:val="0"/>
              <w:marTop w:val="0"/>
              <w:marBottom w:val="0"/>
              <w:divBdr>
                <w:top w:val="none" w:sz="0" w:space="0" w:color="auto"/>
                <w:left w:val="none" w:sz="0" w:space="0" w:color="auto"/>
                <w:bottom w:val="none" w:sz="0" w:space="0" w:color="auto"/>
                <w:right w:val="none" w:sz="0" w:space="0" w:color="auto"/>
              </w:divBdr>
              <w:divsChild>
                <w:div w:id="1440486936">
                  <w:marLeft w:val="0"/>
                  <w:marRight w:val="0"/>
                  <w:marTop w:val="0"/>
                  <w:marBottom w:val="0"/>
                  <w:divBdr>
                    <w:top w:val="none" w:sz="0" w:space="0" w:color="auto"/>
                    <w:left w:val="none" w:sz="0" w:space="0" w:color="auto"/>
                    <w:bottom w:val="none" w:sz="0" w:space="0" w:color="auto"/>
                    <w:right w:val="none" w:sz="0" w:space="0" w:color="auto"/>
                  </w:divBdr>
                  <w:divsChild>
                    <w:div w:id="2020697821">
                      <w:marLeft w:val="0"/>
                      <w:marRight w:val="0"/>
                      <w:marTop w:val="0"/>
                      <w:marBottom w:val="0"/>
                      <w:divBdr>
                        <w:top w:val="none" w:sz="0" w:space="0" w:color="auto"/>
                        <w:left w:val="none" w:sz="0" w:space="0" w:color="auto"/>
                        <w:bottom w:val="none" w:sz="0" w:space="0" w:color="auto"/>
                        <w:right w:val="none" w:sz="0" w:space="0" w:color="auto"/>
                      </w:divBdr>
                      <w:divsChild>
                        <w:div w:id="608969900">
                          <w:marLeft w:val="0"/>
                          <w:marRight w:val="0"/>
                          <w:marTop w:val="45"/>
                          <w:marBottom w:val="0"/>
                          <w:divBdr>
                            <w:top w:val="none" w:sz="0" w:space="0" w:color="auto"/>
                            <w:left w:val="none" w:sz="0" w:space="0" w:color="auto"/>
                            <w:bottom w:val="none" w:sz="0" w:space="0" w:color="auto"/>
                            <w:right w:val="none" w:sz="0" w:space="0" w:color="auto"/>
                          </w:divBdr>
                          <w:divsChild>
                            <w:div w:id="472409580">
                              <w:marLeft w:val="0"/>
                              <w:marRight w:val="0"/>
                              <w:marTop w:val="0"/>
                              <w:marBottom w:val="0"/>
                              <w:divBdr>
                                <w:top w:val="none" w:sz="0" w:space="0" w:color="auto"/>
                                <w:left w:val="none" w:sz="0" w:space="0" w:color="auto"/>
                                <w:bottom w:val="none" w:sz="0" w:space="0" w:color="auto"/>
                                <w:right w:val="none" w:sz="0" w:space="0" w:color="auto"/>
                              </w:divBdr>
                              <w:divsChild>
                                <w:div w:id="627778523">
                                  <w:marLeft w:val="2070"/>
                                  <w:marRight w:val="3810"/>
                                  <w:marTop w:val="0"/>
                                  <w:marBottom w:val="0"/>
                                  <w:divBdr>
                                    <w:top w:val="none" w:sz="0" w:space="0" w:color="auto"/>
                                    <w:left w:val="none" w:sz="0" w:space="0" w:color="auto"/>
                                    <w:bottom w:val="none" w:sz="0" w:space="0" w:color="auto"/>
                                    <w:right w:val="none" w:sz="0" w:space="0" w:color="auto"/>
                                  </w:divBdr>
                                  <w:divsChild>
                                    <w:div w:id="972172535">
                                      <w:marLeft w:val="0"/>
                                      <w:marRight w:val="0"/>
                                      <w:marTop w:val="0"/>
                                      <w:marBottom w:val="0"/>
                                      <w:divBdr>
                                        <w:top w:val="none" w:sz="0" w:space="0" w:color="auto"/>
                                        <w:left w:val="none" w:sz="0" w:space="0" w:color="auto"/>
                                        <w:bottom w:val="none" w:sz="0" w:space="0" w:color="auto"/>
                                        <w:right w:val="none" w:sz="0" w:space="0" w:color="auto"/>
                                      </w:divBdr>
                                      <w:divsChild>
                                        <w:div w:id="2058509363">
                                          <w:marLeft w:val="0"/>
                                          <w:marRight w:val="0"/>
                                          <w:marTop w:val="0"/>
                                          <w:marBottom w:val="0"/>
                                          <w:divBdr>
                                            <w:top w:val="none" w:sz="0" w:space="0" w:color="auto"/>
                                            <w:left w:val="none" w:sz="0" w:space="0" w:color="auto"/>
                                            <w:bottom w:val="none" w:sz="0" w:space="0" w:color="auto"/>
                                            <w:right w:val="none" w:sz="0" w:space="0" w:color="auto"/>
                                          </w:divBdr>
                                          <w:divsChild>
                                            <w:div w:id="2004233479">
                                              <w:marLeft w:val="0"/>
                                              <w:marRight w:val="0"/>
                                              <w:marTop w:val="0"/>
                                              <w:marBottom w:val="0"/>
                                              <w:divBdr>
                                                <w:top w:val="none" w:sz="0" w:space="0" w:color="auto"/>
                                                <w:left w:val="none" w:sz="0" w:space="0" w:color="auto"/>
                                                <w:bottom w:val="none" w:sz="0" w:space="0" w:color="auto"/>
                                                <w:right w:val="none" w:sz="0" w:space="0" w:color="auto"/>
                                              </w:divBdr>
                                              <w:divsChild>
                                                <w:div w:id="324165882">
                                                  <w:marLeft w:val="0"/>
                                                  <w:marRight w:val="0"/>
                                                  <w:marTop w:val="90"/>
                                                  <w:marBottom w:val="0"/>
                                                  <w:divBdr>
                                                    <w:top w:val="none" w:sz="0" w:space="0" w:color="auto"/>
                                                    <w:left w:val="none" w:sz="0" w:space="0" w:color="auto"/>
                                                    <w:bottom w:val="none" w:sz="0" w:space="0" w:color="auto"/>
                                                    <w:right w:val="none" w:sz="0" w:space="0" w:color="auto"/>
                                                  </w:divBdr>
                                                  <w:divsChild>
                                                    <w:div w:id="1634795827">
                                                      <w:marLeft w:val="0"/>
                                                      <w:marRight w:val="0"/>
                                                      <w:marTop w:val="0"/>
                                                      <w:marBottom w:val="0"/>
                                                      <w:divBdr>
                                                        <w:top w:val="none" w:sz="0" w:space="0" w:color="auto"/>
                                                        <w:left w:val="none" w:sz="0" w:space="0" w:color="auto"/>
                                                        <w:bottom w:val="none" w:sz="0" w:space="0" w:color="auto"/>
                                                        <w:right w:val="none" w:sz="0" w:space="0" w:color="auto"/>
                                                      </w:divBdr>
                                                      <w:divsChild>
                                                        <w:div w:id="1805153678">
                                                          <w:marLeft w:val="0"/>
                                                          <w:marRight w:val="0"/>
                                                          <w:marTop w:val="0"/>
                                                          <w:marBottom w:val="0"/>
                                                          <w:divBdr>
                                                            <w:top w:val="none" w:sz="0" w:space="0" w:color="auto"/>
                                                            <w:left w:val="none" w:sz="0" w:space="0" w:color="auto"/>
                                                            <w:bottom w:val="none" w:sz="0" w:space="0" w:color="auto"/>
                                                            <w:right w:val="none" w:sz="0" w:space="0" w:color="auto"/>
                                                          </w:divBdr>
                                                          <w:divsChild>
                                                            <w:div w:id="1720663387">
                                                              <w:marLeft w:val="0"/>
                                                              <w:marRight w:val="0"/>
                                                              <w:marTop w:val="0"/>
                                                              <w:marBottom w:val="390"/>
                                                              <w:divBdr>
                                                                <w:top w:val="none" w:sz="0" w:space="0" w:color="auto"/>
                                                                <w:left w:val="none" w:sz="0" w:space="0" w:color="auto"/>
                                                                <w:bottom w:val="none" w:sz="0" w:space="0" w:color="auto"/>
                                                                <w:right w:val="none" w:sz="0" w:space="0" w:color="auto"/>
                                                              </w:divBdr>
                                                              <w:divsChild>
                                                                <w:div w:id="747312078">
                                                                  <w:marLeft w:val="0"/>
                                                                  <w:marRight w:val="0"/>
                                                                  <w:marTop w:val="0"/>
                                                                  <w:marBottom w:val="0"/>
                                                                  <w:divBdr>
                                                                    <w:top w:val="none" w:sz="0" w:space="0" w:color="auto"/>
                                                                    <w:left w:val="none" w:sz="0" w:space="0" w:color="auto"/>
                                                                    <w:bottom w:val="none" w:sz="0" w:space="0" w:color="auto"/>
                                                                    <w:right w:val="none" w:sz="0" w:space="0" w:color="auto"/>
                                                                  </w:divBdr>
                                                                  <w:divsChild>
                                                                    <w:div w:id="1351689163">
                                                                      <w:marLeft w:val="0"/>
                                                                      <w:marRight w:val="0"/>
                                                                      <w:marTop w:val="0"/>
                                                                      <w:marBottom w:val="0"/>
                                                                      <w:divBdr>
                                                                        <w:top w:val="none" w:sz="0" w:space="0" w:color="auto"/>
                                                                        <w:left w:val="none" w:sz="0" w:space="0" w:color="auto"/>
                                                                        <w:bottom w:val="none" w:sz="0" w:space="0" w:color="auto"/>
                                                                        <w:right w:val="none" w:sz="0" w:space="0" w:color="auto"/>
                                                                      </w:divBdr>
                                                                      <w:divsChild>
                                                                        <w:div w:id="283536957">
                                                                          <w:marLeft w:val="0"/>
                                                                          <w:marRight w:val="0"/>
                                                                          <w:marTop w:val="0"/>
                                                                          <w:marBottom w:val="0"/>
                                                                          <w:divBdr>
                                                                            <w:top w:val="none" w:sz="0" w:space="0" w:color="auto"/>
                                                                            <w:left w:val="none" w:sz="0" w:space="0" w:color="auto"/>
                                                                            <w:bottom w:val="none" w:sz="0" w:space="0" w:color="auto"/>
                                                                            <w:right w:val="none" w:sz="0" w:space="0" w:color="auto"/>
                                                                          </w:divBdr>
                                                                          <w:divsChild>
                                                                            <w:div w:id="192307097">
                                                                              <w:marLeft w:val="0"/>
                                                                              <w:marRight w:val="0"/>
                                                                              <w:marTop w:val="0"/>
                                                                              <w:marBottom w:val="0"/>
                                                                              <w:divBdr>
                                                                                <w:top w:val="none" w:sz="0" w:space="0" w:color="auto"/>
                                                                                <w:left w:val="none" w:sz="0" w:space="0" w:color="auto"/>
                                                                                <w:bottom w:val="none" w:sz="0" w:space="0" w:color="auto"/>
                                                                                <w:right w:val="none" w:sz="0" w:space="0" w:color="auto"/>
                                                                              </w:divBdr>
                                                                              <w:divsChild>
                                                                                <w:div w:id="457113687">
                                                                                  <w:marLeft w:val="0"/>
                                                                                  <w:marRight w:val="0"/>
                                                                                  <w:marTop w:val="0"/>
                                                                                  <w:marBottom w:val="0"/>
                                                                                  <w:divBdr>
                                                                                    <w:top w:val="none" w:sz="0" w:space="0" w:color="auto"/>
                                                                                    <w:left w:val="none" w:sz="0" w:space="0" w:color="auto"/>
                                                                                    <w:bottom w:val="none" w:sz="0" w:space="0" w:color="auto"/>
                                                                                    <w:right w:val="none" w:sz="0" w:space="0" w:color="auto"/>
                                                                                  </w:divBdr>
                                                                                  <w:divsChild>
                                                                                    <w:div w:id="1677535749">
                                                                                      <w:marLeft w:val="0"/>
                                                                                      <w:marRight w:val="0"/>
                                                                                      <w:marTop w:val="0"/>
                                                                                      <w:marBottom w:val="0"/>
                                                                                      <w:divBdr>
                                                                                        <w:top w:val="none" w:sz="0" w:space="0" w:color="auto"/>
                                                                                        <w:left w:val="none" w:sz="0" w:space="0" w:color="auto"/>
                                                                                        <w:bottom w:val="none" w:sz="0" w:space="0" w:color="auto"/>
                                                                                        <w:right w:val="none" w:sz="0" w:space="0" w:color="auto"/>
                                                                                      </w:divBdr>
                                                                                      <w:divsChild>
                                                                                        <w:div w:id="1179201285">
                                                                                          <w:marLeft w:val="0"/>
                                                                                          <w:marRight w:val="0"/>
                                                                                          <w:marTop w:val="0"/>
                                                                                          <w:marBottom w:val="0"/>
                                                                                          <w:divBdr>
                                                                                            <w:top w:val="none" w:sz="0" w:space="0" w:color="auto"/>
                                                                                            <w:left w:val="none" w:sz="0" w:space="0" w:color="auto"/>
                                                                                            <w:bottom w:val="none" w:sz="0" w:space="0" w:color="auto"/>
                                                                                            <w:right w:val="none" w:sz="0" w:space="0" w:color="auto"/>
                                                                                          </w:divBdr>
                                                                                          <w:divsChild>
                                                                                            <w:div w:id="9836834">
                                                                                              <w:marLeft w:val="0"/>
                                                                                              <w:marRight w:val="0"/>
                                                                                              <w:marTop w:val="0"/>
                                                                                              <w:marBottom w:val="0"/>
                                                                                              <w:divBdr>
                                                                                                <w:top w:val="none" w:sz="0" w:space="0" w:color="auto"/>
                                                                                                <w:left w:val="none" w:sz="0" w:space="0" w:color="auto"/>
                                                                                                <w:bottom w:val="none" w:sz="0" w:space="0" w:color="auto"/>
                                                                                                <w:right w:val="none" w:sz="0" w:space="0" w:color="auto"/>
                                                                                              </w:divBdr>
                                                                                              <w:divsChild>
                                                                                                <w:div w:id="278532728">
                                                                                                  <w:marLeft w:val="0"/>
                                                                                                  <w:marRight w:val="0"/>
                                                                                                  <w:marTop w:val="0"/>
                                                                                                  <w:marBottom w:val="0"/>
                                                                                                  <w:divBdr>
                                                                                                    <w:top w:val="none" w:sz="0" w:space="0" w:color="auto"/>
                                                                                                    <w:left w:val="none" w:sz="0" w:space="0" w:color="auto"/>
                                                                                                    <w:bottom w:val="none" w:sz="0" w:space="0" w:color="auto"/>
                                                                                                    <w:right w:val="none" w:sz="0" w:space="0" w:color="auto"/>
                                                                                                  </w:divBdr>
                                                                                                  <w:divsChild>
                                                                                                    <w:div w:id="1969699074">
                                                                                                      <w:marLeft w:val="0"/>
                                                                                                      <w:marRight w:val="0"/>
                                                                                                      <w:marTop w:val="0"/>
                                                                                                      <w:marBottom w:val="0"/>
                                                                                                      <w:divBdr>
                                                                                                        <w:top w:val="none" w:sz="0" w:space="0" w:color="auto"/>
                                                                                                        <w:left w:val="none" w:sz="0" w:space="0" w:color="auto"/>
                                                                                                        <w:bottom w:val="none" w:sz="0" w:space="0" w:color="auto"/>
                                                                                                        <w:right w:val="none" w:sz="0" w:space="0" w:color="auto"/>
                                                                                                      </w:divBdr>
                                                                                                      <w:divsChild>
                                                                                                        <w:div w:id="357586589">
                                                                                                          <w:marLeft w:val="0"/>
                                                                                                          <w:marRight w:val="0"/>
                                                                                                          <w:marTop w:val="0"/>
                                                                                                          <w:marBottom w:val="0"/>
                                                                                                          <w:divBdr>
                                                                                                            <w:top w:val="none" w:sz="0" w:space="0" w:color="auto"/>
                                                                                                            <w:left w:val="none" w:sz="0" w:space="0" w:color="auto"/>
                                                                                                            <w:bottom w:val="none" w:sz="0" w:space="0" w:color="auto"/>
                                                                                                            <w:right w:val="none" w:sz="0" w:space="0" w:color="auto"/>
                                                                                                          </w:divBdr>
                                                                                                          <w:divsChild>
                                                                                                            <w:div w:id="1498770810">
                                                                                                              <w:marLeft w:val="0"/>
                                                                                                              <w:marRight w:val="0"/>
                                                                                                              <w:marTop w:val="0"/>
                                                                                                              <w:marBottom w:val="0"/>
                                                                                                              <w:divBdr>
                                                                                                                <w:top w:val="none" w:sz="0" w:space="0" w:color="auto"/>
                                                                                                                <w:left w:val="none" w:sz="0" w:space="0" w:color="auto"/>
                                                                                                                <w:bottom w:val="none" w:sz="0" w:space="0" w:color="auto"/>
                                                                                                                <w:right w:val="none" w:sz="0" w:space="0" w:color="auto"/>
                                                                                                              </w:divBdr>
                                                                                                              <w:divsChild>
                                                                                                                <w:div w:id="136845326">
                                                                                                                  <w:marLeft w:val="300"/>
                                                                                                                  <w:marRight w:val="0"/>
                                                                                                                  <w:marTop w:val="0"/>
                                                                                                                  <w:marBottom w:val="0"/>
                                                                                                                  <w:divBdr>
                                                                                                                    <w:top w:val="none" w:sz="0" w:space="0" w:color="auto"/>
                                                                                                                    <w:left w:val="none" w:sz="0" w:space="0" w:color="auto"/>
                                                                                                                    <w:bottom w:val="none" w:sz="0" w:space="0" w:color="auto"/>
                                                                                                                    <w:right w:val="none" w:sz="0" w:space="0" w:color="auto"/>
                                                                                                                  </w:divBdr>
                                                                                                                  <w:divsChild>
                                                                                                                    <w:div w:id="673069514">
                                                                                                                      <w:marLeft w:val="0"/>
                                                                                                                      <w:marRight w:val="0"/>
                                                                                                                      <w:marTop w:val="0"/>
                                                                                                                      <w:marBottom w:val="0"/>
                                                                                                                      <w:divBdr>
                                                                                                                        <w:top w:val="none" w:sz="0" w:space="0" w:color="auto"/>
                                                                                                                        <w:left w:val="none" w:sz="0" w:space="0" w:color="auto"/>
                                                                                                                        <w:bottom w:val="none" w:sz="0" w:space="0" w:color="auto"/>
                                                                                                                        <w:right w:val="none" w:sz="0" w:space="0" w:color="auto"/>
                                                                                                                      </w:divBdr>
                                                                                                                      <w:divsChild>
                                                                                                                        <w:div w:id="43733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73947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hrrp.eu/docs/decisions/Inadmissibility%20decision%202012-06%20pdf.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hrrp.eu/docs/decisions/Inadmissibility%20Decision%202012-07.pdf" TargetMode="External"/><Relationship Id="rId3" Type="http://schemas.openxmlformats.org/officeDocument/2006/relationships/hyperlink" Target="http://hudoc.echr.coe.int/eng" TargetMode="External"/><Relationship Id="rId7" Type="http://schemas.openxmlformats.org/officeDocument/2006/relationships/hyperlink" Target="http://www.hrrp.eu/docs/decisions/Admissibility%20Decision%202012-09;%202012-10;%202012-11%20&amp;%202012-12.pdf" TargetMode="External"/><Relationship Id="rId12" Type="http://schemas.openxmlformats.org/officeDocument/2006/relationships/hyperlink" Target="http://www.hrrp.eu/docs/decisions/Inadmissibility%20decision%202014-41%20pdf.pdf" TargetMode="External"/><Relationship Id="rId2" Type="http://schemas.openxmlformats.org/officeDocument/2006/relationships/hyperlink" Target="http://hudoc.echr.coe.int/eng" TargetMode="External"/><Relationship Id="rId1" Type="http://schemas.openxmlformats.org/officeDocument/2006/relationships/hyperlink" Target="http://www.hrrp.eu/docs/05072017%20HR%20ACCOUNTABILITY%20FOR%20INTER%20ORGANISATION.pdf" TargetMode="External"/><Relationship Id="rId6" Type="http://schemas.openxmlformats.org/officeDocument/2006/relationships/hyperlink" Target="http://www.hrrp.eu/docs/decisions/Inadmissibility%20Decision%202012-15.pdf" TargetMode="External"/><Relationship Id="rId11" Type="http://schemas.openxmlformats.org/officeDocument/2006/relationships/hyperlink" Target="http://www.hrrp.eu/docs/decisions/Inadmissibility%20decision%202014-41%20pdf.pdf" TargetMode="External"/><Relationship Id="rId5" Type="http://schemas.openxmlformats.org/officeDocument/2006/relationships/hyperlink" Target="http://www.hrrp.eu/docs/decisions/Admissibility%20decision%202012-14%20pdf.pdf" TargetMode="External"/><Relationship Id="rId10" Type="http://schemas.openxmlformats.org/officeDocument/2006/relationships/hyperlink" Target="http://www.hrrp.eu/docs/decisions/Inadmissibility%20Decision%202011-15.pdf" TargetMode="External"/><Relationship Id="rId4" Type="http://schemas.openxmlformats.org/officeDocument/2006/relationships/hyperlink" Target="http://www.hrrp.eu/docs/Case%20law%20Note%20on%20Disappearance.pdf" TargetMode="External"/><Relationship Id="rId9" Type="http://schemas.openxmlformats.org/officeDocument/2006/relationships/hyperlink" Target="http://www.hrrp.eu/docs/decisions/Inadmissibility%20Decision%202011-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91B10-61F3-A14C-8DE2-DFE27D4C4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38</Pages>
  <Words>8928</Words>
  <Characters>50896</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Guenael Mettraux</dc:creator>
  <cp:keywords/>
  <dc:description/>
  <cp:lastModifiedBy>Guenael Mettraux</cp:lastModifiedBy>
  <cp:revision>5</cp:revision>
  <cp:lastPrinted>2017-06-07T12:22:00Z</cp:lastPrinted>
  <dcterms:created xsi:type="dcterms:W3CDTF">2017-11-27T16:40:00Z</dcterms:created>
  <dcterms:modified xsi:type="dcterms:W3CDTF">2018-04-10T15:12:00Z</dcterms:modified>
</cp:coreProperties>
</file>